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664F" w14:textId="77777777" w:rsidR="00E33B1D" w:rsidRDefault="00E33B1D" w:rsidP="00A26E78">
      <w:pPr>
        <w:pStyle w:val="Default"/>
        <w:jc w:val="both"/>
      </w:pPr>
    </w:p>
    <w:p w14:paraId="4D4DA031" w14:textId="58677747" w:rsidR="00E33B1D" w:rsidRDefault="00E33B1D" w:rsidP="00A26E78">
      <w:pPr>
        <w:pStyle w:val="Default"/>
        <w:jc w:val="both"/>
        <w:rPr>
          <w:b/>
          <w:bCs/>
          <w:sz w:val="22"/>
          <w:szCs w:val="22"/>
        </w:rPr>
      </w:pPr>
      <w:r>
        <w:rPr>
          <w:b/>
          <w:bCs/>
          <w:sz w:val="22"/>
          <w:szCs w:val="22"/>
        </w:rPr>
        <w:t xml:space="preserve">Bridging Thrombolysis is Associated with Better Outcomes Compared to Direct Mechanical Thrombectomy in Stroke Due to Internal Carotid Artery Occlusion </w:t>
      </w:r>
    </w:p>
    <w:p w14:paraId="6A069CD1" w14:textId="77777777" w:rsidR="0080297F" w:rsidRDefault="0080297F" w:rsidP="00A26E78">
      <w:pPr>
        <w:pStyle w:val="Default"/>
        <w:jc w:val="both"/>
        <w:rPr>
          <w:b/>
          <w:bCs/>
          <w:sz w:val="22"/>
          <w:szCs w:val="22"/>
        </w:rPr>
      </w:pPr>
    </w:p>
    <w:p w14:paraId="2706FE3F" w14:textId="5B00A22D" w:rsidR="0080297F" w:rsidRPr="0080297F" w:rsidRDefault="0080297F" w:rsidP="0080297F">
      <w:pPr>
        <w:pStyle w:val="Default"/>
        <w:jc w:val="both"/>
        <w:rPr>
          <w:sz w:val="22"/>
          <w:szCs w:val="22"/>
        </w:rPr>
      </w:pPr>
      <w:r w:rsidRPr="0080297F">
        <w:rPr>
          <w:sz w:val="22"/>
          <w:szCs w:val="22"/>
        </w:rPr>
        <w:t xml:space="preserve">Isabel Siow1, Benjamin YQ Tan2, Keng Siang Lee3, Natalie Ong1, Emma Toh1, Anil Gopinathan, 1,4, </w:t>
      </w:r>
      <w:proofErr w:type="spellStart"/>
      <w:r w:rsidRPr="0080297F">
        <w:rPr>
          <w:sz w:val="22"/>
          <w:szCs w:val="22"/>
        </w:rPr>
        <w:t>Cunli</w:t>
      </w:r>
      <w:proofErr w:type="spellEnd"/>
      <w:r w:rsidRPr="0080297F">
        <w:rPr>
          <w:sz w:val="22"/>
          <w:szCs w:val="22"/>
        </w:rPr>
        <w:t xml:space="preserve"> Yang1,4, </w:t>
      </w:r>
      <w:proofErr w:type="spellStart"/>
      <w:r w:rsidRPr="0080297F">
        <w:rPr>
          <w:sz w:val="22"/>
          <w:szCs w:val="22"/>
        </w:rPr>
        <w:t>Pervinder</w:t>
      </w:r>
      <w:proofErr w:type="spellEnd"/>
      <w:r w:rsidRPr="0080297F">
        <w:rPr>
          <w:sz w:val="22"/>
          <w:szCs w:val="22"/>
        </w:rPr>
        <w:t xml:space="preserve"> Bhogal5, Erika Lam6, Oliver Spooner6, Lukas Meyer7, Jens Fiehler7, Panagiotis Papanagiotou8,9, Andreas Kastrup10, Maria Alexandrou8, Seraphine Zube</w:t>
      </w:r>
      <w:r w:rsidR="00254674">
        <w:rPr>
          <w:sz w:val="22"/>
          <w:szCs w:val="22"/>
        </w:rPr>
        <w:t>l</w:t>
      </w:r>
      <w:r w:rsidRPr="0080297F">
        <w:rPr>
          <w:sz w:val="22"/>
          <w:szCs w:val="22"/>
        </w:rPr>
        <w:t xml:space="preserve">11, </w:t>
      </w:r>
      <w:proofErr w:type="spellStart"/>
      <w:r w:rsidRPr="0080297F">
        <w:rPr>
          <w:sz w:val="22"/>
          <w:szCs w:val="22"/>
        </w:rPr>
        <w:t>Qingyu</w:t>
      </w:r>
      <w:proofErr w:type="spellEnd"/>
      <w:r w:rsidRPr="0080297F">
        <w:rPr>
          <w:sz w:val="22"/>
          <w:szCs w:val="22"/>
        </w:rPr>
        <w:t xml:space="preserve"> Wu11, Anastasios Mpotsaris11, Volker Maus12, Tommy Anderson13,14, Vamsi Gontu13, Fabian Arnberg14, </w:t>
      </w:r>
      <w:proofErr w:type="spellStart"/>
      <w:r w:rsidRPr="0080297F">
        <w:rPr>
          <w:sz w:val="22"/>
          <w:szCs w:val="22"/>
        </w:rPr>
        <w:t>Tsong</w:t>
      </w:r>
      <w:proofErr w:type="spellEnd"/>
      <w:r w:rsidRPr="0080297F">
        <w:rPr>
          <w:sz w:val="22"/>
          <w:szCs w:val="22"/>
        </w:rPr>
        <w:t xml:space="preserve"> Hai Lee15, Bernard PL Chan2, Raymond CS Seet2, Hock Luen Teoh2, Vijay K Sharma1,2, Leonard LL Yeo1,2</w:t>
      </w:r>
    </w:p>
    <w:p w14:paraId="5254766D" w14:textId="77777777" w:rsidR="0080297F" w:rsidRPr="0080297F" w:rsidRDefault="0080297F" w:rsidP="0080297F">
      <w:pPr>
        <w:pStyle w:val="Default"/>
        <w:jc w:val="both"/>
        <w:rPr>
          <w:sz w:val="22"/>
          <w:szCs w:val="22"/>
        </w:rPr>
      </w:pPr>
    </w:p>
    <w:p w14:paraId="0D500EA4" w14:textId="21871D04" w:rsidR="0080297F" w:rsidRPr="0080297F" w:rsidRDefault="0080297F" w:rsidP="0080297F">
      <w:pPr>
        <w:pStyle w:val="Default"/>
        <w:jc w:val="both"/>
        <w:rPr>
          <w:sz w:val="22"/>
          <w:szCs w:val="22"/>
        </w:rPr>
      </w:pPr>
      <w:r w:rsidRPr="0080297F">
        <w:rPr>
          <w:sz w:val="22"/>
          <w:szCs w:val="22"/>
        </w:rPr>
        <w:t>1</w:t>
      </w:r>
      <w:r>
        <w:rPr>
          <w:sz w:val="22"/>
          <w:szCs w:val="22"/>
        </w:rPr>
        <w:t>Ministry of Health Holdings, Singapore</w:t>
      </w:r>
    </w:p>
    <w:p w14:paraId="534E514A" w14:textId="77777777" w:rsidR="0080297F" w:rsidRPr="0080297F" w:rsidRDefault="0080297F" w:rsidP="0080297F">
      <w:pPr>
        <w:pStyle w:val="Default"/>
        <w:jc w:val="both"/>
        <w:rPr>
          <w:sz w:val="22"/>
          <w:szCs w:val="22"/>
        </w:rPr>
      </w:pPr>
      <w:r w:rsidRPr="0080297F">
        <w:rPr>
          <w:sz w:val="22"/>
          <w:szCs w:val="22"/>
        </w:rPr>
        <w:t>2Division of Neurology, Department of Medicine, National University Health System, Singapore</w:t>
      </w:r>
    </w:p>
    <w:p w14:paraId="7E91680F" w14:textId="7B4FF2B3" w:rsidR="0080297F" w:rsidRPr="0080297F" w:rsidRDefault="0080297F" w:rsidP="0080297F">
      <w:pPr>
        <w:pStyle w:val="Default"/>
        <w:jc w:val="both"/>
        <w:rPr>
          <w:sz w:val="22"/>
          <w:szCs w:val="22"/>
        </w:rPr>
      </w:pPr>
      <w:r w:rsidRPr="0080297F">
        <w:rPr>
          <w:sz w:val="22"/>
          <w:szCs w:val="22"/>
        </w:rPr>
        <w:t>3</w:t>
      </w:r>
      <w:r w:rsidR="00E63676" w:rsidRPr="00E63676">
        <w:t xml:space="preserve"> </w:t>
      </w:r>
      <w:r w:rsidR="00E63676" w:rsidRPr="00E63676">
        <w:rPr>
          <w:sz w:val="22"/>
          <w:szCs w:val="22"/>
        </w:rPr>
        <w:t>Department of Neurosurgery, King’s College Hospital, London, UK</w:t>
      </w:r>
    </w:p>
    <w:p w14:paraId="2B520209" w14:textId="77777777" w:rsidR="0080297F" w:rsidRPr="0080297F" w:rsidRDefault="0080297F" w:rsidP="0080297F">
      <w:pPr>
        <w:pStyle w:val="Default"/>
        <w:jc w:val="both"/>
        <w:rPr>
          <w:sz w:val="22"/>
          <w:szCs w:val="22"/>
        </w:rPr>
      </w:pPr>
      <w:r w:rsidRPr="0080297F">
        <w:rPr>
          <w:sz w:val="22"/>
          <w:szCs w:val="22"/>
        </w:rPr>
        <w:t>4Division of Interventional Radiology, Department of Diagnostic Imaging, National University Health System, Singapore</w:t>
      </w:r>
    </w:p>
    <w:p w14:paraId="0424CD0B" w14:textId="77777777" w:rsidR="0080297F" w:rsidRPr="0080297F" w:rsidRDefault="0080297F" w:rsidP="0080297F">
      <w:pPr>
        <w:pStyle w:val="Default"/>
        <w:jc w:val="both"/>
        <w:rPr>
          <w:sz w:val="22"/>
          <w:szCs w:val="22"/>
        </w:rPr>
      </w:pPr>
      <w:r w:rsidRPr="0080297F">
        <w:rPr>
          <w:sz w:val="22"/>
          <w:szCs w:val="22"/>
        </w:rPr>
        <w:t>5Department of Interventional Neuroradiology, The Royal London Hospital, Barts NHS Trust, London, United Kingdom</w:t>
      </w:r>
    </w:p>
    <w:p w14:paraId="12DAD433" w14:textId="77777777" w:rsidR="0080297F" w:rsidRPr="0080297F" w:rsidRDefault="0080297F" w:rsidP="0080297F">
      <w:pPr>
        <w:pStyle w:val="Default"/>
        <w:jc w:val="both"/>
        <w:rPr>
          <w:sz w:val="22"/>
          <w:szCs w:val="22"/>
        </w:rPr>
      </w:pPr>
      <w:r w:rsidRPr="0080297F">
        <w:rPr>
          <w:sz w:val="22"/>
          <w:szCs w:val="22"/>
        </w:rPr>
        <w:t>6Stroke Department, The Royal London Hospital, Barts NHS Trust, London, United Kingdom</w:t>
      </w:r>
    </w:p>
    <w:p w14:paraId="700B5AA7" w14:textId="77777777" w:rsidR="0080297F" w:rsidRPr="0080297F" w:rsidRDefault="0080297F" w:rsidP="0080297F">
      <w:pPr>
        <w:pStyle w:val="Default"/>
        <w:jc w:val="both"/>
        <w:rPr>
          <w:sz w:val="22"/>
          <w:szCs w:val="22"/>
        </w:rPr>
      </w:pPr>
      <w:r w:rsidRPr="0080297F">
        <w:rPr>
          <w:sz w:val="22"/>
          <w:szCs w:val="22"/>
        </w:rPr>
        <w:t xml:space="preserve">7Department of Diagnostic and Interventional Neuroradiology, University Medical </w:t>
      </w:r>
      <w:proofErr w:type="spellStart"/>
      <w:r w:rsidRPr="0080297F">
        <w:rPr>
          <w:sz w:val="22"/>
          <w:szCs w:val="22"/>
        </w:rPr>
        <w:t>Center</w:t>
      </w:r>
      <w:proofErr w:type="spellEnd"/>
      <w:r w:rsidRPr="0080297F">
        <w:rPr>
          <w:sz w:val="22"/>
          <w:szCs w:val="22"/>
        </w:rPr>
        <w:t xml:space="preserve"> Hamburg-Eppendorf, Hamburg, Germany</w:t>
      </w:r>
    </w:p>
    <w:p w14:paraId="7EA1A65C" w14:textId="77777777" w:rsidR="0080297F" w:rsidRPr="0080297F" w:rsidRDefault="0080297F" w:rsidP="0080297F">
      <w:pPr>
        <w:pStyle w:val="Default"/>
        <w:jc w:val="both"/>
        <w:rPr>
          <w:sz w:val="22"/>
          <w:szCs w:val="22"/>
        </w:rPr>
      </w:pPr>
      <w:r w:rsidRPr="0080297F">
        <w:rPr>
          <w:sz w:val="22"/>
          <w:szCs w:val="22"/>
        </w:rPr>
        <w:t>8Department of Diagnostic and Interventional Neuroradiology, Hospital Bremen-Mitte, Bremen, Germany</w:t>
      </w:r>
    </w:p>
    <w:p w14:paraId="1A7814A1" w14:textId="77777777" w:rsidR="0080297F" w:rsidRPr="0080297F" w:rsidRDefault="0080297F" w:rsidP="0080297F">
      <w:pPr>
        <w:pStyle w:val="Default"/>
        <w:jc w:val="both"/>
        <w:rPr>
          <w:sz w:val="22"/>
          <w:szCs w:val="22"/>
        </w:rPr>
      </w:pPr>
      <w:r w:rsidRPr="0080297F">
        <w:rPr>
          <w:sz w:val="22"/>
          <w:szCs w:val="22"/>
        </w:rPr>
        <w:t xml:space="preserve">9First Department of Radiology, School of Medicine, National &amp; </w:t>
      </w:r>
      <w:proofErr w:type="spellStart"/>
      <w:r w:rsidRPr="0080297F">
        <w:rPr>
          <w:sz w:val="22"/>
          <w:szCs w:val="22"/>
        </w:rPr>
        <w:t>Kapodistrian</w:t>
      </w:r>
      <w:proofErr w:type="spellEnd"/>
      <w:r w:rsidRPr="0080297F">
        <w:rPr>
          <w:sz w:val="22"/>
          <w:szCs w:val="22"/>
        </w:rPr>
        <w:t xml:space="preserve"> University of Athens, Athens, Greece</w:t>
      </w:r>
    </w:p>
    <w:p w14:paraId="0BBC2C0C" w14:textId="77777777" w:rsidR="0080297F" w:rsidRPr="0080297F" w:rsidRDefault="0080297F" w:rsidP="0080297F">
      <w:pPr>
        <w:pStyle w:val="Default"/>
        <w:jc w:val="both"/>
        <w:rPr>
          <w:sz w:val="22"/>
          <w:szCs w:val="22"/>
        </w:rPr>
      </w:pPr>
      <w:r w:rsidRPr="0080297F">
        <w:rPr>
          <w:sz w:val="22"/>
          <w:szCs w:val="22"/>
        </w:rPr>
        <w:t>10Department of Neurology, Hospital Bremen-Mitte, Bremen, Germany</w:t>
      </w:r>
    </w:p>
    <w:p w14:paraId="4CF28DBE" w14:textId="77777777" w:rsidR="0080297F" w:rsidRPr="0080297F" w:rsidRDefault="0080297F" w:rsidP="0080297F">
      <w:pPr>
        <w:pStyle w:val="Default"/>
        <w:jc w:val="both"/>
        <w:rPr>
          <w:sz w:val="22"/>
          <w:szCs w:val="22"/>
        </w:rPr>
      </w:pPr>
      <w:r w:rsidRPr="0080297F">
        <w:rPr>
          <w:sz w:val="22"/>
          <w:szCs w:val="22"/>
        </w:rPr>
        <w:t>11Department of Neuroradiology, University Hospital Magdeburg, Germany</w:t>
      </w:r>
    </w:p>
    <w:p w14:paraId="10349382" w14:textId="77777777" w:rsidR="0080297F" w:rsidRPr="0080297F" w:rsidRDefault="0080297F" w:rsidP="0080297F">
      <w:pPr>
        <w:pStyle w:val="Default"/>
        <w:jc w:val="both"/>
        <w:rPr>
          <w:sz w:val="22"/>
          <w:szCs w:val="22"/>
        </w:rPr>
      </w:pPr>
      <w:r w:rsidRPr="0080297F">
        <w:rPr>
          <w:sz w:val="22"/>
          <w:szCs w:val="22"/>
        </w:rPr>
        <w:t xml:space="preserve">12Institute of Diagnostic and Interventional Radiology, Neuroradiology and Nuclear Medicine, University Hospital </w:t>
      </w:r>
      <w:proofErr w:type="spellStart"/>
      <w:r w:rsidRPr="0080297F">
        <w:rPr>
          <w:sz w:val="22"/>
          <w:szCs w:val="22"/>
        </w:rPr>
        <w:t>Knappschaftskrankenhaus</w:t>
      </w:r>
      <w:proofErr w:type="spellEnd"/>
      <w:r w:rsidRPr="0080297F">
        <w:rPr>
          <w:sz w:val="22"/>
          <w:szCs w:val="22"/>
        </w:rPr>
        <w:t xml:space="preserve"> Bochum, Bochum, Germany</w:t>
      </w:r>
    </w:p>
    <w:p w14:paraId="4C0BA1C4" w14:textId="77777777" w:rsidR="0080297F" w:rsidRPr="0080297F" w:rsidRDefault="0080297F" w:rsidP="0080297F">
      <w:pPr>
        <w:pStyle w:val="Default"/>
        <w:jc w:val="both"/>
        <w:rPr>
          <w:sz w:val="22"/>
          <w:szCs w:val="22"/>
        </w:rPr>
      </w:pPr>
      <w:r w:rsidRPr="0080297F">
        <w:rPr>
          <w:sz w:val="22"/>
          <w:szCs w:val="22"/>
        </w:rPr>
        <w:t xml:space="preserve">13Department of Neuroradiology, Karolinska University Hospital, Stockholm, Sweden and Department of Clinical Neuroscience, Karolinska </w:t>
      </w:r>
      <w:proofErr w:type="spellStart"/>
      <w:r w:rsidRPr="0080297F">
        <w:rPr>
          <w:sz w:val="22"/>
          <w:szCs w:val="22"/>
        </w:rPr>
        <w:t>Institutet</w:t>
      </w:r>
      <w:proofErr w:type="spellEnd"/>
      <w:r w:rsidRPr="0080297F">
        <w:rPr>
          <w:sz w:val="22"/>
          <w:szCs w:val="22"/>
        </w:rPr>
        <w:t>, Stockholm, Sweden</w:t>
      </w:r>
    </w:p>
    <w:p w14:paraId="7549B73D" w14:textId="77777777" w:rsidR="0080297F" w:rsidRPr="0080297F" w:rsidRDefault="0080297F" w:rsidP="0080297F">
      <w:pPr>
        <w:pStyle w:val="Default"/>
        <w:jc w:val="both"/>
        <w:rPr>
          <w:sz w:val="22"/>
          <w:szCs w:val="22"/>
        </w:rPr>
      </w:pPr>
      <w:r w:rsidRPr="0080297F">
        <w:rPr>
          <w:sz w:val="22"/>
          <w:szCs w:val="22"/>
        </w:rPr>
        <w:t xml:space="preserve">14Department of Medical Imaging, AZ </w:t>
      </w:r>
      <w:proofErr w:type="spellStart"/>
      <w:r w:rsidRPr="0080297F">
        <w:rPr>
          <w:sz w:val="22"/>
          <w:szCs w:val="22"/>
        </w:rPr>
        <w:t>Groeninge</w:t>
      </w:r>
      <w:proofErr w:type="spellEnd"/>
      <w:r w:rsidRPr="0080297F">
        <w:rPr>
          <w:sz w:val="22"/>
          <w:szCs w:val="22"/>
        </w:rPr>
        <w:t>, Kortrijk, Belgium</w:t>
      </w:r>
    </w:p>
    <w:p w14:paraId="0D9264C4" w14:textId="2807939A" w:rsidR="0080297F" w:rsidRPr="0080297F" w:rsidRDefault="0080297F" w:rsidP="0080297F">
      <w:pPr>
        <w:pStyle w:val="Default"/>
        <w:jc w:val="both"/>
        <w:rPr>
          <w:sz w:val="22"/>
          <w:szCs w:val="22"/>
        </w:rPr>
      </w:pPr>
      <w:r w:rsidRPr="0080297F">
        <w:rPr>
          <w:sz w:val="22"/>
          <w:szCs w:val="22"/>
        </w:rPr>
        <w:t xml:space="preserve">15Department of Neurology, </w:t>
      </w:r>
      <w:proofErr w:type="spellStart"/>
      <w:r w:rsidRPr="0080297F">
        <w:rPr>
          <w:sz w:val="22"/>
          <w:szCs w:val="22"/>
        </w:rPr>
        <w:t>Linkou</w:t>
      </w:r>
      <w:proofErr w:type="spellEnd"/>
      <w:r w:rsidRPr="0080297F">
        <w:rPr>
          <w:sz w:val="22"/>
          <w:szCs w:val="22"/>
        </w:rPr>
        <w:t xml:space="preserve"> Chang Gung Memorial Hospital, Taoyuan, Taiwan</w:t>
      </w:r>
    </w:p>
    <w:p w14:paraId="36075A2F" w14:textId="77777777" w:rsidR="00E33B1D" w:rsidRDefault="00E33B1D" w:rsidP="00A26E78">
      <w:pPr>
        <w:pStyle w:val="Default"/>
        <w:jc w:val="both"/>
        <w:rPr>
          <w:sz w:val="22"/>
          <w:szCs w:val="22"/>
        </w:rPr>
      </w:pPr>
    </w:p>
    <w:p w14:paraId="531B8382" w14:textId="77777777" w:rsidR="00E33B1D" w:rsidRDefault="00E33B1D" w:rsidP="00A26E78">
      <w:pPr>
        <w:pStyle w:val="Default"/>
        <w:jc w:val="both"/>
        <w:rPr>
          <w:sz w:val="22"/>
          <w:szCs w:val="22"/>
        </w:rPr>
      </w:pPr>
      <w:r>
        <w:rPr>
          <w:sz w:val="22"/>
          <w:szCs w:val="22"/>
        </w:rPr>
        <w:t xml:space="preserve">Abstract </w:t>
      </w:r>
    </w:p>
    <w:p w14:paraId="6190E22C" w14:textId="5CD727B3" w:rsidR="00E33B1D" w:rsidRDefault="00E33B1D" w:rsidP="00A26E78">
      <w:pPr>
        <w:pStyle w:val="Default"/>
        <w:jc w:val="both"/>
        <w:rPr>
          <w:sz w:val="22"/>
          <w:szCs w:val="22"/>
        </w:rPr>
      </w:pPr>
      <w:r>
        <w:rPr>
          <w:sz w:val="22"/>
          <w:szCs w:val="22"/>
        </w:rPr>
        <w:t xml:space="preserve">Background and purpose. Mechanical thrombectomy (MT) is an effective treatment for patients with internal carotid artery (ICA) occlusion acute ischaemic stroke. It remains unclear whether intravenous thrombolysis (IVT) prior to MT confers any benefit or may result in harm This study compared the outcomes of acute ICA stroke patients who were treated with direct MT versus combined IVT plus MT. </w:t>
      </w:r>
    </w:p>
    <w:p w14:paraId="0E41AAEC" w14:textId="77777777" w:rsidR="00E33B1D" w:rsidRDefault="00E33B1D" w:rsidP="00A26E78">
      <w:pPr>
        <w:pStyle w:val="Default"/>
        <w:jc w:val="both"/>
        <w:rPr>
          <w:sz w:val="22"/>
          <w:szCs w:val="22"/>
        </w:rPr>
      </w:pPr>
    </w:p>
    <w:p w14:paraId="0846D9A8" w14:textId="77777777" w:rsidR="00E33B1D" w:rsidRDefault="00E33B1D" w:rsidP="00A26E78">
      <w:pPr>
        <w:pStyle w:val="Default"/>
        <w:jc w:val="both"/>
        <w:rPr>
          <w:sz w:val="22"/>
          <w:szCs w:val="22"/>
        </w:rPr>
      </w:pPr>
      <w:r>
        <w:rPr>
          <w:sz w:val="22"/>
          <w:szCs w:val="22"/>
        </w:rPr>
        <w:t xml:space="preserve">Methods. This multicenter retrospective cohort study included patients who were treated for acute ICA stroke from five comprehensive stroke centers between January 2015 and December 2019. Patients received direct MT or combined bridging IVT plus MT. Primary outcome was favorable functional outcome defined as modified Rankin Scale (mRS) 0–3 measured at on discharge. Secondary outcome measures included mRS at 90 days, mortality and complications such as symptomatic intracranial hemorrhage (sICH), subarachnoid haemorrhage (SAH) and embolism of thrombus to new territories. </w:t>
      </w:r>
    </w:p>
    <w:p w14:paraId="2118C52B" w14:textId="77777777" w:rsidR="00E33B1D" w:rsidRDefault="00E33B1D" w:rsidP="00A26E78">
      <w:pPr>
        <w:pStyle w:val="Default"/>
        <w:jc w:val="both"/>
        <w:rPr>
          <w:sz w:val="22"/>
          <w:szCs w:val="22"/>
        </w:rPr>
      </w:pPr>
    </w:p>
    <w:p w14:paraId="4E50D2DE" w14:textId="0FBF201F" w:rsidR="00E33B1D" w:rsidRDefault="00E33B1D" w:rsidP="00A26E78">
      <w:pPr>
        <w:pStyle w:val="Default"/>
        <w:jc w:val="both"/>
        <w:rPr>
          <w:sz w:val="22"/>
          <w:szCs w:val="22"/>
        </w:rPr>
      </w:pPr>
      <w:r>
        <w:rPr>
          <w:sz w:val="22"/>
          <w:szCs w:val="22"/>
        </w:rPr>
        <w:t xml:space="preserve">Results. Among 352 patients, 178 (50.6%) patients underwent bridging IVT followed by MT and 174 (49.4%) underwent direct MT. The mean±standard deviation age was 69.8±14.6 years, 50.9% were male and median National Institutes of Health Stroke Scale was 16 (interquartile range). Patients who </w:t>
      </w:r>
      <w:r>
        <w:rPr>
          <w:sz w:val="22"/>
          <w:szCs w:val="22"/>
        </w:rPr>
        <w:lastRenderedPageBreak/>
        <w:t xml:space="preserve">underwent bridging IVT had better functional outcomes (mRS 0-3) on discharge compared to those who underwent direct MT (24.6% vs 38.0%, P=0.025). On multivariable analyses, bridging IVT was not associated with improvement in 90-day mRS score, decreased mortality or difference in rate of complications compared to direct MT. In subgroup analyses, patients with underlying </w:t>
      </w:r>
      <w:r w:rsidR="00C8227A">
        <w:rPr>
          <w:sz w:val="22"/>
          <w:szCs w:val="22"/>
        </w:rPr>
        <w:t xml:space="preserve">large artery atherosclerosis </w:t>
      </w:r>
      <w:r>
        <w:rPr>
          <w:sz w:val="22"/>
          <w:szCs w:val="22"/>
        </w:rPr>
        <w:t xml:space="preserve">treated with bridging IVT compared to direct MT had a higher rate of favorable functional outcome at 90 days (33.9% vs. 14.0%, P=0.022) </w:t>
      </w:r>
    </w:p>
    <w:p w14:paraId="03645B43" w14:textId="77777777" w:rsidR="0080297F" w:rsidRDefault="0080297F" w:rsidP="00A26E78">
      <w:pPr>
        <w:pStyle w:val="Default"/>
        <w:jc w:val="both"/>
        <w:rPr>
          <w:sz w:val="22"/>
          <w:szCs w:val="22"/>
        </w:rPr>
      </w:pPr>
    </w:p>
    <w:p w14:paraId="3556BC7E" w14:textId="3ECA490E" w:rsidR="00EB3B21" w:rsidRDefault="00E33B1D" w:rsidP="00A26E78">
      <w:pPr>
        <w:jc w:val="both"/>
      </w:pPr>
      <w:r>
        <w:t xml:space="preserve">Conclusions. Bridging IVT is associated with better functional outcomes compared to direct MT in ICA stroke. In the subgroup of patients with large-artery </w:t>
      </w:r>
      <w:r w:rsidR="00C8227A">
        <w:t>atherosclerosis,</w:t>
      </w:r>
      <w:r>
        <w:t xml:space="preserve"> bridging IVT may also confer benefit.</w:t>
      </w:r>
    </w:p>
    <w:sectPr w:rsidR="00EB3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D"/>
    <w:rsid w:val="002023E9"/>
    <w:rsid w:val="00254674"/>
    <w:rsid w:val="004B338A"/>
    <w:rsid w:val="0080297F"/>
    <w:rsid w:val="009E5CD8"/>
    <w:rsid w:val="00A26E78"/>
    <w:rsid w:val="00B26B2A"/>
    <w:rsid w:val="00C8227A"/>
    <w:rsid w:val="00E33B1D"/>
    <w:rsid w:val="00E63676"/>
    <w:rsid w:val="00EB3B2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D558"/>
  <w15:chartTrackingRefBased/>
  <w15:docId w15:val="{8558AD13-969C-492F-8178-4AB761E8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B1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3B1D"/>
    <w:rPr>
      <w:sz w:val="16"/>
      <w:szCs w:val="16"/>
    </w:rPr>
  </w:style>
  <w:style w:type="paragraph" w:styleId="CommentText">
    <w:name w:val="annotation text"/>
    <w:basedOn w:val="Normal"/>
    <w:link w:val="CommentTextChar"/>
    <w:uiPriority w:val="99"/>
    <w:semiHidden/>
    <w:unhideWhenUsed/>
    <w:rsid w:val="00E33B1D"/>
    <w:pPr>
      <w:spacing w:line="240" w:lineRule="auto"/>
    </w:pPr>
    <w:rPr>
      <w:sz w:val="20"/>
      <w:szCs w:val="20"/>
    </w:rPr>
  </w:style>
  <w:style w:type="character" w:customStyle="1" w:styleId="CommentTextChar">
    <w:name w:val="Comment Text Char"/>
    <w:basedOn w:val="DefaultParagraphFont"/>
    <w:link w:val="CommentText"/>
    <w:uiPriority w:val="99"/>
    <w:semiHidden/>
    <w:rsid w:val="00E33B1D"/>
    <w:rPr>
      <w:sz w:val="20"/>
      <w:szCs w:val="20"/>
    </w:rPr>
  </w:style>
  <w:style w:type="paragraph" w:styleId="CommentSubject">
    <w:name w:val="annotation subject"/>
    <w:basedOn w:val="CommentText"/>
    <w:next w:val="CommentText"/>
    <w:link w:val="CommentSubjectChar"/>
    <w:uiPriority w:val="99"/>
    <w:semiHidden/>
    <w:unhideWhenUsed/>
    <w:rsid w:val="00E33B1D"/>
    <w:rPr>
      <w:b/>
      <w:bCs/>
    </w:rPr>
  </w:style>
  <w:style w:type="character" w:customStyle="1" w:styleId="CommentSubjectChar">
    <w:name w:val="Comment Subject Char"/>
    <w:basedOn w:val="CommentTextChar"/>
    <w:link w:val="CommentSubject"/>
    <w:uiPriority w:val="99"/>
    <w:semiHidden/>
    <w:rsid w:val="00E33B1D"/>
    <w:rPr>
      <w:b/>
      <w:bCs/>
      <w:sz w:val="20"/>
      <w:szCs w:val="20"/>
    </w:rPr>
  </w:style>
  <w:style w:type="paragraph" w:styleId="BalloonText">
    <w:name w:val="Balloon Text"/>
    <w:basedOn w:val="Normal"/>
    <w:link w:val="BalloonTextChar"/>
    <w:uiPriority w:val="99"/>
    <w:semiHidden/>
    <w:unhideWhenUsed/>
    <w:rsid w:val="00E33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1D"/>
    <w:rPr>
      <w:rFonts w:ascii="Segoe UI" w:hAnsi="Segoe UI" w:cs="Segoe UI"/>
      <w:sz w:val="18"/>
      <w:szCs w:val="18"/>
    </w:rPr>
  </w:style>
  <w:style w:type="paragraph" w:styleId="Revision">
    <w:name w:val="Revision"/>
    <w:hidden/>
    <w:uiPriority w:val="99"/>
    <w:semiHidden/>
    <w:rsid w:val="004B3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 Leong Litt, Leonard</dc:creator>
  <cp:keywords/>
  <dc:description/>
  <cp:lastModifiedBy>isabel siow</cp:lastModifiedBy>
  <cp:revision>8</cp:revision>
  <dcterms:created xsi:type="dcterms:W3CDTF">2024-03-14T11:21:00Z</dcterms:created>
  <dcterms:modified xsi:type="dcterms:W3CDTF">2024-03-14T11:42:00Z</dcterms:modified>
</cp:coreProperties>
</file>