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3D9F1" w14:textId="77777777" w:rsidR="00B215F7" w:rsidRPr="00B215F7" w:rsidRDefault="00B215F7" w:rsidP="00B215F7">
      <w:pPr>
        <w:spacing w:after="0" w:line="240" w:lineRule="auto"/>
        <w:jc w:val="center"/>
        <w:rPr>
          <w:rFonts w:ascii="Times New Roman" w:eastAsia="Times New Roman" w:hAnsi="Times New Roman" w:cs="Times New Roman"/>
          <w:b/>
          <w:color w:val="0000FF"/>
          <w:sz w:val="28"/>
          <w:szCs w:val="28"/>
          <w:lang w:val="en-US"/>
        </w:rPr>
      </w:pPr>
      <w:r w:rsidRPr="00B215F7">
        <w:rPr>
          <w:rFonts w:ascii="Times New Roman" w:eastAsia="Times New Roman" w:hAnsi="Times New Roman" w:cs="Times New Roman"/>
          <w:b/>
          <w:color w:val="0000FF"/>
          <w:sz w:val="28"/>
          <w:szCs w:val="28"/>
          <w:lang w:val="en-US"/>
        </w:rPr>
        <w:t>Evaluations of the performance of the A</w:t>
      </w:r>
      <w:r w:rsidRPr="00B215F7">
        <w:rPr>
          <w:rFonts w:ascii="Symbol" w:eastAsia="Times New Roman" w:hAnsi="Symbol" w:cs="Times New Roman"/>
          <w:b/>
          <w:color w:val="0000FF"/>
          <w:sz w:val="28"/>
          <w:szCs w:val="28"/>
          <w:lang w:val="en-US"/>
        </w:rPr>
        <w:t></w:t>
      </w:r>
      <w:r w:rsidRPr="00B215F7">
        <w:rPr>
          <w:rFonts w:ascii="Times New Roman" w:eastAsia="Times New Roman" w:hAnsi="Times New Roman" w:cs="Times New Roman"/>
          <w:b/>
          <w:color w:val="0000FF"/>
          <w:sz w:val="28"/>
          <w:szCs w:val="28"/>
          <w:lang w:val="en-US"/>
        </w:rPr>
        <w:t>42/40 ratio, p-Tau181 and p-Tau217 assays in Alzheimer’s Disease plasma.</w:t>
      </w:r>
    </w:p>
    <w:p w14:paraId="22ECC2CD" w14:textId="77777777" w:rsidR="00B215F7" w:rsidRPr="00B215F7" w:rsidRDefault="00B215F7" w:rsidP="00B215F7">
      <w:pPr>
        <w:spacing w:after="0" w:line="240" w:lineRule="auto"/>
        <w:rPr>
          <w:rFonts w:ascii="Times New Roman" w:eastAsia="Times New Roman" w:hAnsi="Times New Roman" w:cs="Times New Roman"/>
          <w:b/>
          <w:color w:val="0000FF"/>
          <w:sz w:val="28"/>
          <w:szCs w:val="28"/>
          <w:lang w:val="en-US"/>
        </w:rPr>
      </w:pPr>
    </w:p>
    <w:p w14:paraId="6FF9FA8D" w14:textId="77777777" w:rsidR="00B215F7" w:rsidRPr="00B215F7" w:rsidRDefault="00B215F7" w:rsidP="00B215F7">
      <w:pPr>
        <w:spacing w:after="0" w:line="240" w:lineRule="auto"/>
        <w:jc w:val="center"/>
        <w:rPr>
          <w:rFonts w:ascii="Times New Roman" w:eastAsia="Times New Roman" w:hAnsi="Times New Roman" w:cs="Times New Roman"/>
          <w:color w:val="0000FF"/>
          <w:sz w:val="24"/>
          <w:szCs w:val="24"/>
          <w:lang w:val="en-US"/>
        </w:rPr>
      </w:pPr>
      <w:r w:rsidRPr="00B215F7">
        <w:rPr>
          <w:rFonts w:ascii="Times New Roman" w:eastAsia="Times New Roman" w:hAnsi="Times New Roman" w:cs="Times New Roman"/>
          <w:color w:val="0000FF"/>
          <w:sz w:val="24"/>
          <w:szCs w:val="24"/>
          <w:lang w:val="en-US"/>
        </w:rPr>
        <w:t>Ahmed Chenna, Youssouf Badal,</w:t>
      </w:r>
      <w:r w:rsidRPr="00B215F7" w:rsidDel="002F4C4F">
        <w:rPr>
          <w:rFonts w:ascii="Times New Roman" w:eastAsia="Times New Roman" w:hAnsi="Times New Roman" w:cs="Times New Roman"/>
          <w:color w:val="0000FF"/>
          <w:sz w:val="24"/>
          <w:szCs w:val="24"/>
          <w:lang w:val="en-US"/>
        </w:rPr>
        <w:t xml:space="preserve"> </w:t>
      </w:r>
      <w:r w:rsidRPr="00B215F7">
        <w:rPr>
          <w:rFonts w:ascii="Times New Roman" w:eastAsia="Times New Roman" w:hAnsi="Times New Roman" w:cs="Times New Roman"/>
          <w:color w:val="0000FF"/>
          <w:sz w:val="24"/>
          <w:szCs w:val="24"/>
          <w:lang w:val="en-US"/>
        </w:rPr>
        <w:t>Brandon Yee,</w:t>
      </w:r>
    </w:p>
    <w:p w14:paraId="640DE962" w14:textId="77777777" w:rsidR="00B215F7" w:rsidRPr="00B215F7" w:rsidRDefault="00B215F7" w:rsidP="00B215F7">
      <w:pPr>
        <w:spacing w:after="0" w:line="240" w:lineRule="auto"/>
        <w:jc w:val="center"/>
        <w:rPr>
          <w:rFonts w:ascii="Times New Roman" w:eastAsia="Times New Roman" w:hAnsi="Times New Roman" w:cs="Times New Roman"/>
          <w:color w:val="0000FF"/>
          <w:sz w:val="24"/>
          <w:szCs w:val="24"/>
          <w:lang w:val="en-US"/>
        </w:rPr>
      </w:pPr>
      <w:r w:rsidRPr="00B215F7">
        <w:rPr>
          <w:rFonts w:ascii="Times New Roman" w:eastAsia="Times New Roman" w:hAnsi="Times New Roman" w:cs="Times New Roman"/>
          <w:color w:val="0000FF"/>
          <w:sz w:val="24"/>
          <w:szCs w:val="24"/>
          <w:lang w:val="en-US"/>
        </w:rPr>
        <w:t xml:space="preserve"> Christos Petropoulos, John Winslow</w:t>
      </w:r>
    </w:p>
    <w:p w14:paraId="04BF3FAE" w14:textId="77777777" w:rsidR="00B215F7" w:rsidRPr="00B215F7" w:rsidRDefault="00B215F7" w:rsidP="00B215F7">
      <w:pPr>
        <w:spacing w:after="0" w:line="240" w:lineRule="auto"/>
        <w:jc w:val="center"/>
        <w:rPr>
          <w:rFonts w:ascii="Times New Roman" w:eastAsia="Times New Roman" w:hAnsi="Times New Roman" w:cs="Times New Roman"/>
          <w:color w:val="0000FF"/>
          <w:sz w:val="24"/>
          <w:szCs w:val="24"/>
          <w:lang w:val="en-US"/>
        </w:rPr>
      </w:pPr>
      <w:r w:rsidRPr="00B215F7">
        <w:rPr>
          <w:rFonts w:ascii="Times New Roman" w:eastAsia="Times New Roman" w:hAnsi="Times New Roman" w:cs="Times New Roman"/>
          <w:color w:val="0000FF"/>
          <w:sz w:val="24"/>
          <w:szCs w:val="24"/>
          <w:lang w:val="en-US"/>
        </w:rPr>
        <w:t>LabCorp-Monogram Biosciences Inc.</w:t>
      </w:r>
    </w:p>
    <w:p w14:paraId="37FA98FA" w14:textId="77777777" w:rsidR="00B215F7" w:rsidRPr="00B215F7" w:rsidRDefault="00B215F7" w:rsidP="00B215F7">
      <w:pPr>
        <w:spacing w:after="0" w:line="240" w:lineRule="auto"/>
        <w:jc w:val="center"/>
        <w:rPr>
          <w:rFonts w:ascii="Times New Roman" w:eastAsia="Times New Roman" w:hAnsi="Times New Roman" w:cs="Times New Roman"/>
          <w:b/>
          <w:color w:val="0000FF"/>
          <w:sz w:val="24"/>
          <w:szCs w:val="24"/>
          <w:lang w:val="en-US"/>
        </w:rPr>
      </w:pPr>
      <w:r w:rsidRPr="00B215F7">
        <w:rPr>
          <w:rFonts w:ascii="Times New Roman" w:eastAsia="Times New Roman" w:hAnsi="Times New Roman" w:cs="Times New Roman"/>
          <w:color w:val="0000FF"/>
          <w:sz w:val="24"/>
          <w:szCs w:val="24"/>
          <w:lang w:val="en-US"/>
        </w:rPr>
        <w:t>Chenna1@LabCorp.com</w:t>
      </w:r>
    </w:p>
    <w:p w14:paraId="78F5A0F7" w14:textId="022D2489" w:rsidR="007A43F7" w:rsidRDefault="007A43F7" w:rsidP="00BE1EA9">
      <w:pPr>
        <w:jc w:val="center"/>
        <w:rPr>
          <w:b/>
          <w:bCs/>
          <w:sz w:val="24"/>
          <w:szCs w:val="24"/>
        </w:rPr>
      </w:pPr>
    </w:p>
    <w:p w14:paraId="18DF588A" w14:textId="67316E3F" w:rsidR="007A43F7" w:rsidRDefault="007A43F7" w:rsidP="007A43F7">
      <w:pPr>
        <w:rPr>
          <w:b/>
          <w:bCs/>
          <w:sz w:val="24"/>
          <w:szCs w:val="24"/>
        </w:rPr>
      </w:pPr>
      <w:r>
        <w:rPr>
          <w:b/>
          <w:bCs/>
          <w:sz w:val="24"/>
          <w:szCs w:val="24"/>
        </w:rPr>
        <w:t>Presenter Name:</w:t>
      </w:r>
      <w:r w:rsidR="00B215F7">
        <w:rPr>
          <w:b/>
          <w:bCs/>
          <w:sz w:val="24"/>
          <w:szCs w:val="24"/>
        </w:rPr>
        <w:t xml:space="preserve"> </w:t>
      </w:r>
      <w:r w:rsidR="00B215F7" w:rsidRPr="00B215F7">
        <w:rPr>
          <w:rFonts w:ascii="Times New Roman" w:eastAsia="Times New Roman" w:hAnsi="Times New Roman" w:cs="Times New Roman"/>
          <w:color w:val="0000FF"/>
          <w:sz w:val="24"/>
          <w:szCs w:val="24"/>
          <w:lang w:val="en-US"/>
        </w:rPr>
        <w:t>Ahmed Chenna</w:t>
      </w:r>
      <w:r w:rsidR="00B215F7">
        <w:rPr>
          <w:rFonts w:ascii="Times New Roman" w:eastAsia="Times New Roman" w:hAnsi="Times New Roman" w:cs="Times New Roman"/>
          <w:color w:val="0000FF"/>
          <w:sz w:val="24"/>
          <w:szCs w:val="24"/>
          <w:lang w:val="en-US"/>
        </w:rPr>
        <w:t>, Ph.D.</w:t>
      </w:r>
    </w:p>
    <w:p w14:paraId="48E7A3E6" w14:textId="08C6B5DF" w:rsidR="007A43F7" w:rsidRDefault="007A43F7" w:rsidP="007A43F7">
      <w:pPr>
        <w:rPr>
          <w:b/>
          <w:bCs/>
          <w:sz w:val="24"/>
          <w:szCs w:val="24"/>
        </w:rPr>
      </w:pPr>
      <w:r>
        <w:rPr>
          <w:b/>
          <w:bCs/>
          <w:sz w:val="24"/>
          <w:szCs w:val="24"/>
        </w:rPr>
        <w:t>Abstract: Short description of the presentation topic about 250 to 600 words.</w:t>
      </w:r>
    </w:p>
    <w:p w14:paraId="111C15B1" w14:textId="77777777" w:rsidR="00B215F7" w:rsidRPr="00B215F7" w:rsidRDefault="00B215F7" w:rsidP="00B215F7">
      <w:pPr>
        <w:spacing w:after="160" w:line="240" w:lineRule="auto"/>
        <w:jc w:val="both"/>
        <w:rPr>
          <w:rFonts w:ascii="Times New Roman" w:eastAsia="Calibri" w:hAnsi="Times New Roman" w:cs="Times New Roman"/>
          <w:lang w:val="en-US"/>
        </w:rPr>
      </w:pPr>
      <w:r w:rsidRPr="00B215F7">
        <w:rPr>
          <w:rFonts w:ascii="Times New Roman" w:eastAsia="Calibri" w:hAnsi="Times New Roman" w:cs="Times New Roman"/>
          <w:lang w:val="en-US"/>
        </w:rPr>
        <w:t xml:space="preserve">OBJECTIVE: </w:t>
      </w:r>
    </w:p>
    <w:p w14:paraId="7D78D9CD" w14:textId="77777777" w:rsidR="00B215F7" w:rsidRPr="00B215F7" w:rsidRDefault="00B215F7" w:rsidP="00B215F7">
      <w:pPr>
        <w:spacing w:after="160" w:line="240" w:lineRule="auto"/>
        <w:jc w:val="both"/>
        <w:rPr>
          <w:rFonts w:ascii="Times New Roman" w:eastAsia="Calibri" w:hAnsi="Times New Roman" w:cs="Times New Roman"/>
          <w:lang w:val="en-US"/>
        </w:rPr>
      </w:pPr>
      <w:r w:rsidRPr="00B215F7">
        <w:rPr>
          <w:rFonts w:ascii="Times New Roman" w:eastAsia="Calibri" w:hAnsi="Times New Roman" w:cs="Times New Roman"/>
          <w:lang w:val="en-US"/>
        </w:rPr>
        <w:t>We have evaluated the recently developed blood-based Fujirebio Lumipulse A</w:t>
      </w:r>
      <w:r w:rsidRPr="00B215F7">
        <w:rPr>
          <w:rFonts w:ascii="Symbol" w:eastAsia="Calibri" w:hAnsi="Symbol" w:cs="Times New Roman"/>
          <w:lang w:val="en-US"/>
        </w:rPr>
        <w:t></w:t>
      </w:r>
      <w:r w:rsidRPr="00B215F7">
        <w:rPr>
          <w:rFonts w:ascii="Times New Roman" w:eastAsia="Calibri" w:hAnsi="Times New Roman" w:cs="Times New Roman"/>
          <w:lang w:val="en-US"/>
        </w:rPr>
        <w:t>42/A</w:t>
      </w:r>
      <w:r w:rsidRPr="00B215F7">
        <w:rPr>
          <w:rFonts w:ascii="Symbol" w:eastAsia="Calibri" w:hAnsi="Symbol" w:cs="Times New Roman"/>
          <w:lang w:val="en-US"/>
        </w:rPr>
        <w:t></w:t>
      </w:r>
      <w:r w:rsidRPr="00B215F7">
        <w:rPr>
          <w:rFonts w:ascii="Times New Roman" w:eastAsia="Calibri" w:hAnsi="Times New Roman" w:cs="Times New Roman"/>
          <w:lang w:val="en-US"/>
        </w:rPr>
        <w:t xml:space="preserve">40 ratios, p-Tau181, and the Quanterix/Simoa </w:t>
      </w:r>
      <w:proofErr w:type="spellStart"/>
      <w:r w:rsidRPr="00B215F7">
        <w:rPr>
          <w:rFonts w:ascii="Times New Roman" w:eastAsia="Calibri" w:hAnsi="Times New Roman" w:cs="Times New Roman"/>
          <w:lang w:val="en-US"/>
        </w:rPr>
        <w:t>AlZPath</w:t>
      </w:r>
      <w:proofErr w:type="spellEnd"/>
      <w:r w:rsidRPr="00B215F7">
        <w:rPr>
          <w:rFonts w:ascii="Times New Roman" w:eastAsia="Calibri" w:hAnsi="Times New Roman" w:cs="Times New Roman"/>
          <w:lang w:val="en-US"/>
        </w:rPr>
        <w:t xml:space="preserve"> p-Tau217 assays in AD subjects (n=67) and healthy controls (n= 25), to characterize the discriminatory and correlative relationships for each assay within and between clinical diagnosis groupings.</w:t>
      </w:r>
    </w:p>
    <w:p w14:paraId="204877A6" w14:textId="77777777" w:rsidR="00B215F7" w:rsidRPr="00B215F7" w:rsidRDefault="00B215F7" w:rsidP="00B215F7">
      <w:pPr>
        <w:spacing w:after="160" w:line="240" w:lineRule="auto"/>
        <w:jc w:val="both"/>
        <w:rPr>
          <w:rFonts w:ascii="Times New Roman" w:eastAsia="Calibri" w:hAnsi="Times New Roman" w:cs="Times New Roman"/>
          <w:lang w:val="en-US"/>
        </w:rPr>
      </w:pPr>
    </w:p>
    <w:p w14:paraId="1722DD9E" w14:textId="77777777" w:rsidR="00B215F7" w:rsidRPr="00B215F7" w:rsidRDefault="00B215F7" w:rsidP="00B215F7">
      <w:pPr>
        <w:spacing w:after="160" w:line="240" w:lineRule="auto"/>
        <w:jc w:val="both"/>
        <w:rPr>
          <w:rFonts w:ascii="Times New Roman" w:eastAsia="Calibri" w:hAnsi="Times New Roman" w:cs="Times New Roman"/>
          <w:lang w:val="en-US"/>
        </w:rPr>
      </w:pPr>
      <w:r w:rsidRPr="00B215F7">
        <w:rPr>
          <w:rFonts w:ascii="Times New Roman" w:eastAsia="Calibri" w:hAnsi="Times New Roman" w:cs="Times New Roman"/>
          <w:lang w:val="en-US"/>
        </w:rPr>
        <w:t>BACKGROUND:</w:t>
      </w:r>
    </w:p>
    <w:p w14:paraId="2F9CC6B9" w14:textId="77777777" w:rsidR="00B215F7" w:rsidRPr="00B215F7" w:rsidRDefault="00B215F7" w:rsidP="00B215F7">
      <w:pPr>
        <w:spacing w:after="160" w:line="240" w:lineRule="auto"/>
        <w:jc w:val="both"/>
        <w:rPr>
          <w:rFonts w:ascii="Times New Roman" w:eastAsia="Calibri" w:hAnsi="Times New Roman" w:cs="Times New Roman"/>
          <w:color w:val="0000FF"/>
          <w:lang w:val="en-US"/>
        </w:rPr>
      </w:pPr>
      <w:r w:rsidRPr="00B215F7">
        <w:rPr>
          <w:rFonts w:ascii="Times New Roman" w:eastAsia="Calibri" w:hAnsi="Times New Roman" w:cs="Times New Roman"/>
          <w:lang w:val="en-US"/>
        </w:rPr>
        <w:t xml:space="preserve">Plasma levels of amyloid Aβ42/Aβ40 ratio are significantly decreased, whereas p-Tau181 and p-Tau217 proteins are significantly elevated in AD patients, representing major components of amyloid plaques and neurofibrillary tangles, the primary AD neuropathological cortical markers.  Recently, sensitive immunoassays capable of measuring the Aβ42/Aβ40 ratio, p-Tau181, and p-Tau217 in blood have been developed, with promising diagnostic potential for AD.  </w:t>
      </w:r>
    </w:p>
    <w:p w14:paraId="2C807642" w14:textId="77777777" w:rsidR="00B215F7" w:rsidRPr="00B215F7" w:rsidRDefault="00B215F7" w:rsidP="00B215F7">
      <w:pPr>
        <w:spacing w:after="160" w:line="240" w:lineRule="auto"/>
        <w:jc w:val="both"/>
        <w:rPr>
          <w:rFonts w:ascii="Times New Roman" w:eastAsia="Calibri" w:hAnsi="Times New Roman" w:cs="Times New Roman"/>
          <w:lang w:val="en-US"/>
        </w:rPr>
      </w:pPr>
    </w:p>
    <w:p w14:paraId="57458DA7" w14:textId="77777777" w:rsidR="00B215F7" w:rsidRPr="00B215F7" w:rsidRDefault="00B215F7" w:rsidP="00B215F7">
      <w:pPr>
        <w:spacing w:after="160" w:line="240" w:lineRule="auto"/>
        <w:jc w:val="both"/>
        <w:rPr>
          <w:rFonts w:ascii="Times New Roman" w:eastAsia="Calibri" w:hAnsi="Times New Roman" w:cs="Times New Roman"/>
          <w:lang w:val="en-US"/>
        </w:rPr>
      </w:pPr>
      <w:r w:rsidRPr="00B215F7">
        <w:rPr>
          <w:rFonts w:ascii="Times New Roman" w:eastAsia="Calibri" w:hAnsi="Times New Roman" w:cs="Times New Roman"/>
          <w:lang w:val="en-US"/>
        </w:rPr>
        <w:t>DESIGN/METHODS:</w:t>
      </w:r>
    </w:p>
    <w:p w14:paraId="22582B0B" w14:textId="77777777" w:rsidR="00B215F7" w:rsidRPr="00B215F7" w:rsidRDefault="00B215F7" w:rsidP="00B215F7">
      <w:pPr>
        <w:spacing w:after="160" w:line="240" w:lineRule="auto"/>
        <w:jc w:val="both"/>
        <w:rPr>
          <w:rFonts w:ascii="Times New Roman" w:eastAsia="Calibri" w:hAnsi="Times New Roman" w:cs="Times New Roman"/>
          <w:lang w:val="en-US"/>
        </w:rPr>
      </w:pPr>
      <w:r w:rsidRPr="00B215F7">
        <w:rPr>
          <w:rFonts w:ascii="Times New Roman" w:eastAsia="Calibri" w:hAnsi="Times New Roman" w:cs="Times New Roman"/>
          <w:lang w:val="en-US"/>
        </w:rPr>
        <w:t>AD plasma (n=63) and healthy control plasma (n=24) samples were analyzed with Fujirebio Lumipulse A</w:t>
      </w:r>
      <w:r w:rsidRPr="00B215F7">
        <w:rPr>
          <w:rFonts w:ascii="Symbol" w:eastAsia="Calibri" w:hAnsi="Symbol" w:cs="Times New Roman"/>
          <w:lang w:val="en-US"/>
        </w:rPr>
        <w:t></w:t>
      </w:r>
      <w:r w:rsidRPr="00B215F7">
        <w:rPr>
          <w:rFonts w:ascii="Times New Roman" w:eastAsia="Calibri" w:hAnsi="Times New Roman" w:cs="Times New Roman"/>
          <w:lang w:val="en-US"/>
        </w:rPr>
        <w:t>42/A</w:t>
      </w:r>
      <w:r w:rsidRPr="00B215F7">
        <w:rPr>
          <w:rFonts w:ascii="Symbol" w:eastAsia="Calibri" w:hAnsi="Symbol" w:cs="Times New Roman"/>
          <w:lang w:val="en-US"/>
        </w:rPr>
        <w:t></w:t>
      </w:r>
      <w:r w:rsidRPr="00B215F7">
        <w:rPr>
          <w:rFonts w:ascii="Times New Roman" w:eastAsia="Calibri" w:hAnsi="Times New Roman" w:cs="Times New Roman"/>
          <w:lang w:val="en-US"/>
        </w:rPr>
        <w:t xml:space="preserve">40 ratios, p-Tau181, and the Quanterix/Simoa </w:t>
      </w:r>
      <w:proofErr w:type="spellStart"/>
      <w:r w:rsidRPr="00B215F7">
        <w:rPr>
          <w:rFonts w:ascii="Times New Roman" w:eastAsia="Calibri" w:hAnsi="Times New Roman" w:cs="Times New Roman"/>
          <w:lang w:val="en-US"/>
        </w:rPr>
        <w:t>AlZPath</w:t>
      </w:r>
      <w:proofErr w:type="spellEnd"/>
      <w:r w:rsidRPr="00B215F7">
        <w:rPr>
          <w:rFonts w:ascii="Times New Roman" w:eastAsia="Calibri" w:hAnsi="Times New Roman" w:cs="Times New Roman"/>
          <w:lang w:val="en-US"/>
        </w:rPr>
        <w:t xml:space="preserve"> p-Tau217</w:t>
      </w:r>
      <w:r w:rsidRPr="00B215F7">
        <w:rPr>
          <w:rFonts w:ascii="Times New Roman" w:eastAsia="Calibri" w:hAnsi="Times New Roman" w:cs="Times New Roman"/>
          <w:color w:val="000000"/>
          <w:lang w:val="en-US"/>
        </w:rPr>
        <w:t xml:space="preserve"> immunoassays</w:t>
      </w:r>
      <w:r w:rsidRPr="00B215F7">
        <w:rPr>
          <w:rFonts w:ascii="Times New Roman" w:eastAsia="Calibri" w:hAnsi="Times New Roman" w:cs="Times New Roman"/>
          <w:lang w:val="en-US"/>
        </w:rPr>
        <w:t>. Plasma A</w:t>
      </w:r>
      <w:r w:rsidRPr="00B215F7">
        <w:rPr>
          <w:rFonts w:ascii="Symbol" w:eastAsia="Calibri" w:hAnsi="Symbol" w:cs="Times New Roman"/>
          <w:lang w:val="en-US"/>
        </w:rPr>
        <w:t></w:t>
      </w:r>
      <w:r w:rsidRPr="00B215F7">
        <w:rPr>
          <w:rFonts w:ascii="Times New Roman" w:eastAsia="Calibri" w:hAnsi="Times New Roman" w:cs="Times New Roman"/>
          <w:lang w:val="en-US"/>
        </w:rPr>
        <w:t>42/A</w:t>
      </w:r>
      <w:r w:rsidRPr="00B215F7">
        <w:rPr>
          <w:rFonts w:ascii="Symbol" w:eastAsia="Calibri" w:hAnsi="Symbol" w:cs="Times New Roman"/>
          <w:lang w:val="en-US"/>
        </w:rPr>
        <w:t></w:t>
      </w:r>
      <w:r w:rsidRPr="00B215F7">
        <w:rPr>
          <w:rFonts w:ascii="Times New Roman" w:eastAsia="Calibri" w:hAnsi="Times New Roman" w:cs="Times New Roman"/>
          <w:lang w:val="en-US"/>
        </w:rPr>
        <w:t>40 ratios and p-Tau levels were evaluated within AD sample groups consisting of mild (n=15, MMSE &gt;20-30), moderate (n=20, MMSE=15-20), and severe (n=28, MMSE&lt;14) cognitive impairment, and healthy controls (n=24).</w:t>
      </w:r>
    </w:p>
    <w:p w14:paraId="2B7803A3" w14:textId="77777777" w:rsidR="00B215F7" w:rsidRPr="00B215F7" w:rsidRDefault="00B215F7" w:rsidP="00B215F7">
      <w:pPr>
        <w:spacing w:after="160" w:line="240" w:lineRule="auto"/>
        <w:jc w:val="both"/>
        <w:rPr>
          <w:rFonts w:ascii="Times New Roman" w:eastAsia="Calibri" w:hAnsi="Times New Roman" w:cs="Times New Roman"/>
          <w:color w:val="333333"/>
          <w:lang w:val="en-US"/>
        </w:rPr>
      </w:pPr>
      <w:r w:rsidRPr="00B215F7">
        <w:rPr>
          <w:rFonts w:ascii="Times New Roman" w:eastAsia="Calibri" w:hAnsi="Times New Roman" w:cs="Times New Roman"/>
          <w:color w:val="333333"/>
          <w:lang w:val="en-US"/>
        </w:rPr>
        <w:t>RESULTS:</w:t>
      </w:r>
    </w:p>
    <w:p w14:paraId="3630585C" w14:textId="77777777" w:rsidR="00B215F7" w:rsidRPr="00B215F7" w:rsidRDefault="00B215F7" w:rsidP="00B215F7">
      <w:pPr>
        <w:spacing w:after="160" w:line="240" w:lineRule="auto"/>
        <w:jc w:val="both"/>
        <w:rPr>
          <w:rFonts w:ascii="Times New Roman" w:eastAsia="Calibri" w:hAnsi="Times New Roman" w:cs="Times New Roman"/>
          <w:lang w:val="en-US"/>
        </w:rPr>
      </w:pPr>
      <w:r w:rsidRPr="00B215F7">
        <w:rPr>
          <w:rFonts w:ascii="Times New Roman" w:eastAsia="Calibri" w:hAnsi="Times New Roman" w:cs="Times New Roman"/>
          <w:color w:val="333333"/>
          <w:lang w:val="en-US"/>
        </w:rPr>
        <w:t>Analysis of the median A</w:t>
      </w:r>
      <w:r w:rsidRPr="00B215F7">
        <w:rPr>
          <w:rFonts w:ascii="Symbol" w:eastAsia="Calibri" w:hAnsi="Symbol" w:cs="Times New Roman"/>
          <w:color w:val="333333"/>
          <w:lang w:val="en-US"/>
        </w:rPr>
        <w:t></w:t>
      </w:r>
      <w:r w:rsidRPr="00B215F7">
        <w:rPr>
          <w:rFonts w:ascii="Times New Roman" w:eastAsia="Calibri" w:hAnsi="Times New Roman" w:cs="Times New Roman"/>
          <w:color w:val="333333"/>
          <w:lang w:val="en-US"/>
        </w:rPr>
        <w:t>42/A</w:t>
      </w:r>
      <w:r w:rsidRPr="00B215F7">
        <w:rPr>
          <w:rFonts w:ascii="Symbol" w:eastAsia="Calibri" w:hAnsi="Symbol" w:cs="Times New Roman"/>
          <w:color w:val="333333"/>
          <w:lang w:val="en-US"/>
        </w:rPr>
        <w:t></w:t>
      </w:r>
      <w:r w:rsidRPr="00B215F7">
        <w:rPr>
          <w:rFonts w:ascii="Times New Roman" w:eastAsia="Calibri" w:hAnsi="Times New Roman" w:cs="Times New Roman"/>
          <w:color w:val="333333"/>
          <w:lang w:val="en-US"/>
        </w:rPr>
        <w:t>40 ratios was lower in AD patients (p&lt;0.0001), relative to controls. Conversely, the p-Tau181 and pTau217 assay revealed a significant increase in median p-Tau181 (6.7-fold) and p-Tau217 (6.28-fold) levels of the combined AD group (p&lt;0.0001, n=63), relative to controls (n=24).</w:t>
      </w:r>
      <w:r w:rsidRPr="00B215F7">
        <w:rPr>
          <w:rFonts w:ascii="Times New Roman" w:eastAsia="Calibri" w:hAnsi="Times New Roman" w:cs="Times New Roman"/>
          <w:lang w:val="en-US"/>
        </w:rPr>
        <w:t xml:space="preserve"> All AD sample subgroups had distinguishable </w:t>
      </w:r>
      <w:r w:rsidRPr="00B215F7">
        <w:rPr>
          <w:rFonts w:ascii="Times New Roman" w:eastAsia="Calibri" w:hAnsi="Times New Roman" w:cs="Times New Roman"/>
          <w:color w:val="333333"/>
          <w:lang w:val="en-US"/>
        </w:rPr>
        <w:t>A</w:t>
      </w:r>
      <w:r w:rsidRPr="00B215F7">
        <w:rPr>
          <w:rFonts w:ascii="Symbol" w:eastAsia="Calibri" w:hAnsi="Symbol" w:cs="Times New Roman"/>
          <w:color w:val="333333"/>
          <w:lang w:val="en-US"/>
        </w:rPr>
        <w:t></w:t>
      </w:r>
      <w:r w:rsidRPr="00B215F7">
        <w:rPr>
          <w:rFonts w:ascii="Times New Roman" w:eastAsia="Calibri" w:hAnsi="Times New Roman" w:cs="Times New Roman"/>
          <w:color w:val="333333"/>
          <w:lang w:val="en-US"/>
        </w:rPr>
        <w:t>42/A</w:t>
      </w:r>
      <w:r w:rsidRPr="00B215F7">
        <w:rPr>
          <w:rFonts w:ascii="Symbol" w:eastAsia="Calibri" w:hAnsi="Symbol" w:cs="Times New Roman"/>
          <w:color w:val="333333"/>
          <w:lang w:val="en-US"/>
        </w:rPr>
        <w:t></w:t>
      </w:r>
      <w:r w:rsidRPr="00B215F7">
        <w:rPr>
          <w:rFonts w:ascii="Times New Roman" w:eastAsia="Calibri" w:hAnsi="Times New Roman" w:cs="Times New Roman"/>
          <w:color w:val="333333"/>
          <w:lang w:val="en-US"/>
        </w:rPr>
        <w:t xml:space="preserve">40 ratios (p=0.0021-&lt;0.0001) and </w:t>
      </w:r>
      <w:r w:rsidRPr="00B215F7">
        <w:rPr>
          <w:rFonts w:ascii="Times New Roman" w:eastAsia="Calibri" w:hAnsi="Times New Roman" w:cs="Times New Roman"/>
          <w:lang w:val="en-US"/>
        </w:rPr>
        <w:t xml:space="preserve">p-Tau181 and pTau217 levels (p&lt;0.0012 to p&lt;0.0001) </w:t>
      </w:r>
      <w:r w:rsidRPr="00B215F7">
        <w:rPr>
          <w:rFonts w:ascii="Times New Roman" w:eastAsia="Calibri" w:hAnsi="Times New Roman" w:cs="Times New Roman"/>
          <w:color w:val="333333"/>
          <w:lang w:val="en-US"/>
        </w:rPr>
        <w:t>relative to the control group.</w:t>
      </w:r>
      <w:r w:rsidRPr="00B215F7">
        <w:rPr>
          <w:rFonts w:ascii="Times New Roman" w:eastAsia="Calibri" w:hAnsi="Times New Roman" w:cs="Times New Roman"/>
          <w:lang w:val="en-US"/>
        </w:rPr>
        <w:t xml:space="preserve"> </w:t>
      </w:r>
      <w:r w:rsidRPr="00B215F7">
        <w:rPr>
          <w:rFonts w:ascii="Times New Roman" w:eastAsia="Calibri" w:hAnsi="Times New Roman" w:cs="Times New Roman"/>
          <w:color w:val="333333"/>
          <w:lang w:val="en-US"/>
        </w:rPr>
        <w:t>A</w:t>
      </w:r>
      <w:r w:rsidRPr="00B215F7">
        <w:rPr>
          <w:rFonts w:ascii="Symbol" w:eastAsia="Calibri" w:hAnsi="Symbol" w:cs="Times New Roman"/>
          <w:color w:val="333333"/>
          <w:lang w:val="en-US"/>
        </w:rPr>
        <w:t></w:t>
      </w:r>
      <w:r w:rsidRPr="00B215F7">
        <w:rPr>
          <w:rFonts w:ascii="Times New Roman" w:eastAsia="Calibri" w:hAnsi="Times New Roman" w:cs="Times New Roman"/>
          <w:color w:val="333333"/>
          <w:lang w:val="en-US"/>
        </w:rPr>
        <w:t>42/A</w:t>
      </w:r>
      <w:r w:rsidRPr="00B215F7">
        <w:rPr>
          <w:rFonts w:ascii="Symbol" w:eastAsia="Calibri" w:hAnsi="Symbol" w:cs="Times New Roman"/>
          <w:color w:val="333333"/>
          <w:lang w:val="en-US"/>
        </w:rPr>
        <w:t></w:t>
      </w:r>
      <w:r w:rsidRPr="00B215F7">
        <w:rPr>
          <w:rFonts w:ascii="Times New Roman" w:eastAsia="Calibri" w:hAnsi="Times New Roman" w:cs="Times New Roman"/>
          <w:color w:val="333333"/>
          <w:lang w:val="en-US"/>
        </w:rPr>
        <w:t xml:space="preserve">40 ratios, </w:t>
      </w:r>
      <w:r w:rsidRPr="00B215F7">
        <w:rPr>
          <w:rFonts w:ascii="Times New Roman" w:eastAsia="Calibri" w:hAnsi="Times New Roman" w:cs="Times New Roman"/>
          <w:lang w:val="en-US"/>
        </w:rPr>
        <w:t>p-Tau181 and p-Tau217 levels were able to differentiate overall AD compared to controls (AUC=0.82, 0.93 and 0.92, respectively) and between the different AD clinical subgroups (</w:t>
      </w:r>
      <w:r w:rsidRPr="00B215F7">
        <w:rPr>
          <w:rFonts w:ascii="Times New Roman" w:eastAsia="Calibri" w:hAnsi="Times New Roman" w:cs="Times New Roman"/>
          <w:color w:val="333333"/>
          <w:lang w:val="en-US"/>
        </w:rPr>
        <w:t>A</w:t>
      </w:r>
      <w:r w:rsidRPr="00B215F7">
        <w:rPr>
          <w:rFonts w:ascii="Symbol" w:eastAsia="Calibri" w:hAnsi="Symbol" w:cs="Times New Roman"/>
          <w:color w:val="333333"/>
          <w:lang w:val="en-US"/>
        </w:rPr>
        <w:t></w:t>
      </w:r>
      <w:r w:rsidRPr="00B215F7">
        <w:rPr>
          <w:rFonts w:ascii="Times New Roman" w:eastAsia="Calibri" w:hAnsi="Times New Roman" w:cs="Times New Roman"/>
          <w:color w:val="333333"/>
          <w:lang w:val="en-US"/>
        </w:rPr>
        <w:t>42/A</w:t>
      </w:r>
      <w:r w:rsidRPr="00B215F7">
        <w:rPr>
          <w:rFonts w:ascii="Symbol" w:eastAsia="Calibri" w:hAnsi="Symbol" w:cs="Times New Roman"/>
          <w:color w:val="333333"/>
          <w:lang w:val="en-US"/>
        </w:rPr>
        <w:t></w:t>
      </w:r>
      <w:r w:rsidRPr="00B215F7">
        <w:rPr>
          <w:rFonts w:ascii="Times New Roman" w:eastAsia="Calibri" w:hAnsi="Times New Roman" w:cs="Times New Roman"/>
          <w:color w:val="333333"/>
          <w:lang w:val="en-US"/>
        </w:rPr>
        <w:t>40 ratio AUC=0.79-0.83;</w:t>
      </w:r>
      <w:r w:rsidRPr="00B215F7">
        <w:rPr>
          <w:rFonts w:ascii="Times New Roman" w:eastAsia="Calibri" w:hAnsi="Times New Roman" w:cs="Times New Roman"/>
          <w:lang w:val="en-US"/>
        </w:rPr>
        <w:t xml:space="preserve"> p-Tau181 AUC=0.82-0.93; and p-Tau217 AUC=0.80-0.92)</w:t>
      </w:r>
      <w:r w:rsidRPr="00B215F7">
        <w:rPr>
          <w:rFonts w:ascii="Times New Roman" w:eastAsia="Calibri" w:hAnsi="Times New Roman" w:cs="Times New Roman"/>
          <w:color w:val="333333"/>
          <w:lang w:val="en-US"/>
        </w:rPr>
        <w:t>.</w:t>
      </w:r>
      <w:r w:rsidRPr="00B215F7">
        <w:rPr>
          <w:rFonts w:ascii="Times New Roman" w:eastAsia="Calibri" w:hAnsi="Times New Roman" w:cs="Times New Roman"/>
          <w:lang w:val="en-US"/>
        </w:rPr>
        <w:t xml:space="preserve"> </w:t>
      </w:r>
    </w:p>
    <w:p w14:paraId="77BA9A95" w14:textId="77777777" w:rsidR="00B215F7" w:rsidRPr="00B215F7" w:rsidRDefault="00B215F7" w:rsidP="00B215F7">
      <w:pPr>
        <w:spacing w:after="160" w:line="240" w:lineRule="auto"/>
        <w:jc w:val="both"/>
        <w:rPr>
          <w:rFonts w:ascii="Times New Roman" w:eastAsia="Calibri" w:hAnsi="Times New Roman" w:cs="Times New Roman"/>
          <w:lang w:val="en-US"/>
        </w:rPr>
      </w:pPr>
      <w:r w:rsidRPr="00B215F7">
        <w:rPr>
          <w:rFonts w:ascii="Times New Roman" w:eastAsia="Calibri" w:hAnsi="Times New Roman" w:cs="Times New Roman"/>
          <w:lang w:val="en-US"/>
        </w:rPr>
        <w:t>CONCLUSIONS:</w:t>
      </w:r>
    </w:p>
    <w:p w14:paraId="4CC94C2D" w14:textId="77777777" w:rsidR="00B215F7" w:rsidRPr="00B215F7" w:rsidRDefault="00B215F7" w:rsidP="00B215F7">
      <w:pPr>
        <w:spacing w:after="160" w:line="240" w:lineRule="auto"/>
        <w:jc w:val="both"/>
        <w:rPr>
          <w:rFonts w:ascii="Times New Roman" w:eastAsia="Calibri" w:hAnsi="Times New Roman" w:cs="Times New Roman"/>
          <w:color w:val="333333"/>
          <w:lang w:val="en-US"/>
        </w:rPr>
      </w:pPr>
      <w:r w:rsidRPr="00B215F7">
        <w:rPr>
          <w:rFonts w:ascii="Times New Roman" w:eastAsia="Calibri" w:hAnsi="Times New Roman" w:cs="Times New Roman"/>
          <w:color w:val="333333"/>
          <w:lang w:val="en-US"/>
        </w:rPr>
        <w:t>Lumipulse A</w:t>
      </w:r>
      <w:r w:rsidRPr="00B215F7">
        <w:rPr>
          <w:rFonts w:ascii="Symbol" w:eastAsia="Calibri" w:hAnsi="Symbol" w:cs="Times New Roman"/>
          <w:color w:val="333333"/>
          <w:lang w:val="en-US"/>
        </w:rPr>
        <w:t></w:t>
      </w:r>
      <w:r w:rsidRPr="00B215F7">
        <w:rPr>
          <w:rFonts w:ascii="Times New Roman" w:eastAsia="Calibri" w:hAnsi="Times New Roman" w:cs="Times New Roman"/>
          <w:color w:val="333333"/>
          <w:lang w:val="en-US"/>
        </w:rPr>
        <w:t>40/A</w:t>
      </w:r>
      <w:r w:rsidRPr="00B215F7">
        <w:rPr>
          <w:rFonts w:ascii="Symbol" w:eastAsia="Calibri" w:hAnsi="Symbol" w:cs="Times New Roman"/>
          <w:color w:val="333333"/>
          <w:lang w:val="en-US"/>
        </w:rPr>
        <w:t></w:t>
      </w:r>
      <w:r w:rsidRPr="00B215F7">
        <w:rPr>
          <w:rFonts w:ascii="Times New Roman" w:eastAsia="Calibri" w:hAnsi="Times New Roman" w:cs="Times New Roman"/>
          <w:color w:val="333333"/>
          <w:lang w:val="en-US"/>
        </w:rPr>
        <w:t>42 ratios, p-Tau181 and p-Tau217 assays demonstrated robust analytical performance and differentiated AD plasma from control plasma.  Plasma A</w:t>
      </w:r>
      <w:r w:rsidRPr="00B215F7">
        <w:rPr>
          <w:rFonts w:ascii="Symbol" w:eastAsia="Calibri" w:hAnsi="Symbol" w:cs="Times New Roman"/>
          <w:color w:val="333333"/>
          <w:lang w:val="en-US"/>
        </w:rPr>
        <w:t></w:t>
      </w:r>
      <w:r w:rsidRPr="00B215F7">
        <w:rPr>
          <w:rFonts w:ascii="Times New Roman" w:eastAsia="Calibri" w:hAnsi="Times New Roman" w:cs="Times New Roman"/>
          <w:color w:val="333333"/>
          <w:lang w:val="en-US"/>
        </w:rPr>
        <w:t>42/A</w:t>
      </w:r>
      <w:r w:rsidRPr="00B215F7">
        <w:rPr>
          <w:rFonts w:ascii="Symbol" w:eastAsia="Calibri" w:hAnsi="Symbol" w:cs="Times New Roman"/>
          <w:color w:val="333333"/>
          <w:lang w:val="en-US"/>
        </w:rPr>
        <w:t></w:t>
      </w:r>
      <w:r w:rsidRPr="00B215F7">
        <w:rPr>
          <w:rFonts w:ascii="Times New Roman" w:eastAsia="Calibri" w:hAnsi="Times New Roman" w:cs="Times New Roman"/>
          <w:color w:val="333333"/>
          <w:lang w:val="en-US"/>
        </w:rPr>
        <w:t>40 ratios, p-Tau181, and p-Tau217 biomarkers provide a practical diagnostic opportunity to identify AD patients.</w:t>
      </w:r>
    </w:p>
    <w:p w14:paraId="6A6CE1B7" w14:textId="6E1C2A34" w:rsidR="007A43F7" w:rsidRDefault="007A43F7" w:rsidP="007A43F7">
      <w:pPr>
        <w:rPr>
          <w:b/>
          <w:bCs/>
          <w:sz w:val="24"/>
          <w:szCs w:val="24"/>
        </w:rPr>
      </w:pPr>
    </w:p>
    <w:p w14:paraId="498C0F57" w14:textId="3D79660B" w:rsidR="007A43F7" w:rsidRDefault="007A43F7" w:rsidP="007A43F7">
      <w:pPr>
        <w:rPr>
          <w:b/>
          <w:bCs/>
          <w:sz w:val="24"/>
          <w:szCs w:val="24"/>
        </w:rPr>
      </w:pPr>
      <w:r>
        <w:rPr>
          <w:b/>
          <w:bCs/>
          <w:sz w:val="24"/>
          <w:szCs w:val="24"/>
        </w:rPr>
        <w:t>Biography of Presenter about 100 words:</w:t>
      </w:r>
    </w:p>
    <w:p w14:paraId="7AB9A611" w14:textId="1FD334F9" w:rsidR="00B215F7" w:rsidRPr="00B215F7" w:rsidRDefault="00B215F7" w:rsidP="00B215F7">
      <w:pPr>
        <w:pStyle w:val="ListParagraph"/>
        <w:numPr>
          <w:ilvl w:val="0"/>
          <w:numId w:val="5"/>
        </w:numPr>
        <w:spacing w:after="0" w:line="240" w:lineRule="auto"/>
        <w:rPr>
          <w:rFonts w:ascii="Times New Roman" w:eastAsia="Times New Roman" w:hAnsi="Times New Roman" w:cs="Times New Roman"/>
          <w:lang w:val="en-US"/>
        </w:rPr>
      </w:pPr>
      <w:r w:rsidRPr="00B215F7">
        <w:rPr>
          <w:rFonts w:ascii="Times New Roman" w:eastAsia="Times New Roman" w:hAnsi="Times New Roman" w:cs="Times New Roman"/>
          <w:lang w:val="en-US"/>
        </w:rPr>
        <w:t>1986-1990: PhD Student at Strathclyde University, Glasgow, Scotland, (UK)</w:t>
      </w:r>
    </w:p>
    <w:p w14:paraId="3F24C8B2" w14:textId="5B492C01" w:rsidR="00B215F7" w:rsidRPr="00B215F7" w:rsidRDefault="00B215F7" w:rsidP="00B215F7">
      <w:pPr>
        <w:pStyle w:val="ListParagraph"/>
        <w:numPr>
          <w:ilvl w:val="0"/>
          <w:numId w:val="5"/>
        </w:numPr>
        <w:spacing w:after="0" w:line="240" w:lineRule="auto"/>
        <w:rPr>
          <w:rFonts w:ascii="Times New Roman" w:eastAsia="Times New Roman" w:hAnsi="Times New Roman" w:cs="Times New Roman"/>
          <w:lang w:val="en-US"/>
        </w:rPr>
      </w:pPr>
      <w:r w:rsidRPr="00B215F7">
        <w:rPr>
          <w:rFonts w:ascii="Times New Roman" w:eastAsia="Times New Roman" w:hAnsi="Times New Roman" w:cs="Times New Roman"/>
          <w:lang w:val="en-US"/>
        </w:rPr>
        <w:t>1990-1993: Postdoctoral researcher, Department of Pharmacological Sciences, School of Medicine, State University of New York at Stony Brook.</w:t>
      </w:r>
    </w:p>
    <w:p w14:paraId="01342B83" w14:textId="77777777" w:rsidR="00B215F7" w:rsidRPr="00B215F7" w:rsidRDefault="00B215F7" w:rsidP="00B215F7">
      <w:pPr>
        <w:pStyle w:val="ListParagraph"/>
        <w:numPr>
          <w:ilvl w:val="0"/>
          <w:numId w:val="5"/>
        </w:numPr>
        <w:spacing w:after="0" w:line="240" w:lineRule="auto"/>
        <w:rPr>
          <w:rFonts w:ascii="Times New Roman" w:eastAsia="Times New Roman" w:hAnsi="Times New Roman" w:cs="Times New Roman"/>
          <w:lang w:val="en-US"/>
        </w:rPr>
      </w:pPr>
      <w:r w:rsidRPr="00B215F7">
        <w:rPr>
          <w:rFonts w:ascii="Times New Roman" w:eastAsia="Times New Roman" w:hAnsi="Times New Roman" w:cs="Times New Roman"/>
          <w:lang w:val="en-US"/>
        </w:rPr>
        <w:t>1993-1999: Staff Scientist in the University of Berkeley-Lawrence Berkeley National Laboratory.</w:t>
      </w:r>
    </w:p>
    <w:p w14:paraId="4975E1B5" w14:textId="77777777" w:rsidR="00B215F7" w:rsidRPr="00B215F7" w:rsidRDefault="00B215F7" w:rsidP="00B215F7">
      <w:pPr>
        <w:pStyle w:val="ListParagraph"/>
        <w:numPr>
          <w:ilvl w:val="0"/>
          <w:numId w:val="5"/>
        </w:numPr>
        <w:spacing w:after="0" w:line="240" w:lineRule="auto"/>
        <w:rPr>
          <w:rFonts w:ascii="Times New Roman" w:eastAsia="Times New Roman" w:hAnsi="Times New Roman" w:cs="Times New Roman"/>
          <w:lang w:val="en-US"/>
        </w:rPr>
      </w:pPr>
      <w:r w:rsidRPr="00B215F7">
        <w:rPr>
          <w:rFonts w:ascii="Times New Roman" w:eastAsia="Times New Roman" w:hAnsi="Times New Roman" w:cs="Times New Roman"/>
          <w:lang w:val="en-US"/>
        </w:rPr>
        <w:t>1999 to 2005: ACLARA Biosciences as a senior scientist and lab supervisor in the Advanced Technologies Group.</w:t>
      </w:r>
    </w:p>
    <w:p w14:paraId="4A60C189" w14:textId="77777777" w:rsidR="00B215F7" w:rsidRPr="00B215F7" w:rsidRDefault="00B215F7" w:rsidP="00B215F7">
      <w:pPr>
        <w:pStyle w:val="ListParagraph"/>
        <w:numPr>
          <w:ilvl w:val="0"/>
          <w:numId w:val="5"/>
        </w:numPr>
        <w:spacing w:after="0" w:line="240" w:lineRule="auto"/>
        <w:rPr>
          <w:rFonts w:ascii="Times New Roman" w:eastAsia="Times New Roman" w:hAnsi="Times New Roman" w:cs="Times New Roman"/>
          <w:lang w:val="en-US"/>
        </w:rPr>
      </w:pPr>
      <w:r w:rsidRPr="00B215F7">
        <w:rPr>
          <w:rFonts w:ascii="Times New Roman" w:eastAsia="Times New Roman" w:hAnsi="Times New Roman" w:cs="Times New Roman"/>
          <w:lang w:val="en-US"/>
        </w:rPr>
        <w:t>2005-2011: P</w:t>
      </w:r>
      <w:r w:rsidRPr="00B215F7">
        <w:rPr>
          <w:rFonts w:ascii="Times New Roman" w:eastAsia="Times New Roman" w:hAnsi="Times New Roman" w:cs="Times New Roman"/>
          <w:bCs/>
          <w:lang w:val="en-US"/>
        </w:rPr>
        <w:t xml:space="preserve">rincipal scientist in the oncology group at </w:t>
      </w:r>
      <w:r w:rsidRPr="00B215F7">
        <w:rPr>
          <w:rFonts w:ascii="Times New Roman" w:eastAsia="Times New Roman" w:hAnsi="Times New Roman" w:cs="Times New Roman"/>
          <w:lang w:val="en-US"/>
        </w:rPr>
        <w:t xml:space="preserve">Monogram Biosciences Inc., </w:t>
      </w:r>
    </w:p>
    <w:p w14:paraId="7CED6F78" w14:textId="7C672145" w:rsidR="00B215F7" w:rsidRPr="00B215F7" w:rsidRDefault="00B215F7" w:rsidP="00B215F7">
      <w:pPr>
        <w:pStyle w:val="ListParagraph"/>
        <w:numPr>
          <w:ilvl w:val="0"/>
          <w:numId w:val="5"/>
        </w:numPr>
        <w:spacing w:after="0" w:line="240" w:lineRule="auto"/>
        <w:rPr>
          <w:rFonts w:ascii="Times New Roman" w:eastAsia="Times New Roman" w:hAnsi="Times New Roman" w:cs="Times New Roman"/>
          <w:lang w:val="en-US"/>
        </w:rPr>
      </w:pPr>
      <w:r w:rsidRPr="00B215F7">
        <w:rPr>
          <w:rFonts w:ascii="Times New Roman" w:eastAsia="Times New Roman" w:hAnsi="Times New Roman" w:cs="Times New Roman"/>
          <w:lang w:val="en-US"/>
        </w:rPr>
        <w:t xml:space="preserve">2009- Now: </w:t>
      </w:r>
      <w:r w:rsidR="00D72669" w:rsidRPr="00B215F7">
        <w:rPr>
          <w:rFonts w:ascii="Times New Roman" w:eastAsia="Times New Roman" w:hAnsi="Times New Roman" w:cs="Times New Roman"/>
          <w:lang w:val="en-US"/>
        </w:rPr>
        <w:t>P</w:t>
      </w:r>
      <w:r w:rsidR="00D72669" w:rsidRPr="00B215F7">
        <w:rPr>
          <w:rFonts w:ascii="Times New Roman" w:eastAsia="Times New Roman" w:hAnsi="Times New Roman" w:cs="Times New Roman"/>
          <w:bCs/>
          <w:lang w:val="en-US"/>
        </w:rPr>
        <w:t>rincipal scientist</w:t>
      </w:r>
      <w:r w:rsidR="00D72669" w:rsidRPr="00B215F7">
        <w:rPr>
          <w:rFonts w:ascii="Times New Roman" w:eastAsia="Times New Roman" w:hAnsi="Times New Roman" w:cs="Times New Roman"/>
          <w:lang w:val="en-US"/>
        </w:rPr>
        <w:t xml:space="preserve"> </w:t>
      </w:r>
      <w:r w:rsidR="00D72669">
        <w:rPr>
          <w:rFonts w:ascii="Times New Roman" w:eastAsia="Times New Roman" w:hAnsi="Times New Roman" w:cs="Times New Roman"/>
          <w:lang w:val="en-US"/>
        </w:rPr>
        <w:t xml:space="preserve">at </w:t>
      </w:r>
      <w:r w:rsidRPr="00B215F7">
        <w:rPr>
          <w:rFonts w:ascii="Times New Roman" w:eastAsia="Times New Roman" w:hAnsi="Times New Roman" w:cs="Times New Roman"/>
          <w:lang w:val="en-US"/>
        </w:rPr>
        <w:t>Laboratory Corporation of America</w:t>
      </w:r>
      <w:r w:rsidR="00D72669">
        <w:rPr>
          <w:rFonts w:ascii="Times New Roman" w:eastAsia="Times New Roman" w:hAnsi="Times New Roman" w:cs="Times New Roman"/>
          <w:lang w:val="en-US"/>
        </w:rPr>
        <w:t xml:space="preserve"> (</w:t>
      </w:r>
      <w:proofErr w:type="spellStart"/>
      <w:r w:rsidR="00D72669">
        <w:rPr>
          <w:rFonts w:ascii="Times New Roman" w:eastAsia="Times New Roman" w:hAnsi="Times New Roman" w:cs="Times New Roman"/>
          <w:lang w:val="en-US"/>
        </w:rPr>
        <w:t>Labcorp</w:t>
      </w:r>
      <w:proofErr w:type="spellEnd"/>
      <w:r w:rsidR="00D72669">
        <w:rPr>
          <w:rFonts w:ascii="Times New Roman" w:eastAsia="Times New Roman" w:hAnsi="Times New Roman" w:cs="Times New Roman"/>
          <w:lang w:val="en-US"/>
        </w:rPr>
        <w:t>)</w:t>
      </w:r>
      <w:r w:rsidRPr="00B215F7">
        <w:rPr>
          <w:rFonts w:ascii="Times New Roman" w:eastAsia="Times New Roman" w:hAnsi="Times New Roman" w:cs="Times New Roman"/>
          <w:lang w:val="en-US"/>
        </w:rPr>
        <w:t>,</w:t>
      </w:r>
      <w:r w:rsidR="00D72669">
        <w:rPr>
          <w:rFonts w:ascii="Times New Roman" w:eastAsia="Times New Roman" w:hAnsi="Times New Roman" w:cs="Times New Roman"/>
          <w:lang w:val="en-US"/>
        </w:rPr>
        <w:t xml:space="preserve"> working on</w:t>
      </w:r>
      <w:r w:rsidRPr="00B215F7">
        <w:rPr>
          <w:rFonts w:ascii="Times New Roman" w:eastAsia="Times New Roman" w:hAnsi="Times New Roman" w:cs="Times New Roman"/>
          <w:lang w:val="en-US"/>
        </w:rPr>
        <w:t xml:space="preserve"> Oncology and Neurosciences research.</w:t>
      </w:r>
    </w:p>
    <w:p w14:paraId="3BDA5278" w14:textId="658781AF" w:rsidR="00B215F7" w:rsidRPr="00B215F7" w:rsidRDefault="00B215F7" w:rsidP="00B215F7">
      <w:pPr>
        <w:pStyle w:val="ListParagraph"/>
        <w:numPr>
          <w:ilvl w:val="0"/>
          <w:numId w:val="5"/>
        </w:numPr>
        <w:spacing w:after="0" w:line="240" w:lineRule="auto"/>
        <w:rPr>
          <w:rFonts w:ascii="Times New Roman" w:eastAsia="Times New Roman" w:hAnsi="Times New Roman" w:cs="Times New Roman"/>
          <w:bCs/>
          <w:lang w:val="en-US"/>
        </w:rPr>
      </w:pPr>
      <w:r w:rsidRPr="00B215F7">
        <w:rPr>
          <w:rFonts w:ascii="Times New Roman" w:eastAsia="Times New Roman" w:hAnsi="Times New Roman" w:cs="Times New Roman"/>
          <w:color w:val="000000"/>
          <w:lang w:val="en-US"/>
        </w:rPr>
        <w:t>Dr. Chenna authore</w:t>
      </w:r>
      <w:bookmarkStart w:id="0" w:name="_GoBack"/>
      <w:bookmarkEnd w:id="0"/>
      <w:r w:rsidRPr="00B215F7">
        <w:rPr>
          <w:rFonts w:ascii="Times New Roman" w:eastAsia="Times New Roman" w:hAnsi="Times New Roman" w:cs="Times New Roman"/>
          <w:color w:val="000000"/>
          <w:lang w:val="en-US"/>
        </w:rPr>
        <w:t>d over</w:t>
      </w:r>
      <w:r w:rsidRPr="00B215F7">
        <w:rPr>
          <w:rFonts w:ascii="Times New Roman" w:eastAsia="Times New Roman" w:hAnsi="Times New Roman" w:cs="Times New Roman"/>
          <w:lang w:val="en-US"/>
        </w:rPr>
        <w:t xml:space="preserve"> </w:t>
      </w:r>
      <w:r w:rsidRPr="00B215F7">
        <w:rPr>
          <w:rFonts w:ascii="Times New Roman" w:eastAsia="Times New Roman" w:hAnsi="Times New Roman" w:cs="Times New Roman" w:hint="cs"/>
          <w:rtl/>
          <w:lang w:val="en-US"/>
        </w:rPr>
        <w:t>9</w:t>
      </w:r>
      <w:r w:rsidRPr="00B215F7">
        <w:rPr>
          <w:rFonts w:ascii="Times New Roman" w:eastAsia="Times New Roman" w:hAnsi="Times New Roman" w:cs="Times New Roman"/>
          <w:lang w:val="en-US"/>
        </w:rPr>
        <w:t>0 technical publications &amp; conference abstracts including 13 US patents and has over 30 years of experience in research, development, academia</w:t>
      </w:r>
      <w:r w:rsidR="00D72669">
        <w:rPr>
          <w:rFonts w:ascii="Times New Roman" w:eastAsia="Times New Roman" w:hAnsi="Times New Roman" w:cs="Times New Roman"/>
          <w:lang w:val="en-US"/>
        </w:rPr>
        <w:t>,</w:t>
      </w:r>
      <w:r w:rsidRPr="00B215F7">
        <w:rPr>
          <w:rFonts w:ascii="Times New Roman" w:eastAsia="Times New Roman" w:hAnsi="Times New Roman" w:cs="Times New Roman"/>
          <w:lang w:val="en-US"/>
        </w:rPr>
        <w:t xml:space="preserve"> and biotechnology companies. </w:t>
      </w:r>
    </w:p>
    <w:p w14:paraId="477C9043" w14:textId="77777777" w:rsidR="00D72669" w:rsidRDefault="00D72669" w:rsidP="007A43F7">
      <w:pPr>
        <w:rPr>
          <w:b/>
          <w:bCs/>
          <w:sz w:val="24"/>
          <w:szCs w:val="24"/>
        </w:rPr>
      </w:pPr>
    </w:p>
    <w:p w14:paraId="56D665AD" w14:textId="1A86FBF4" w:rsidR="007A43F7" w:rsidRPr="007A43F7" w:rsidRDefault="007A43F7" w:rsidP="007A43F7">
      <w:pPr>
        <w:rPr>
          <w:b/>
          <w:bCs/>
          <w:sz w:val="24"/>
          <w:szCs w:val="24"/>
        </w:rPr>
      </w:pPr>
      <w:r w:rsidRPr="007A43F7">
        <w:rPr>
          <w:b/>
          <w:bCs/>
          <w:sz w:val="24"/>
          <w:szCs w:val="24"/>
        </w:rPr>
        <w:t xml:space="preserve">Details of </w:t>
      </w:r>
      <w:r w:rsidR="00B215F7">
        <w:rPr>
          <w:b/>
          <w:bCs/>
          <w:sz w:val="24"/>
          <w:szCs w:val="24"/>
        </w:rPr>
        <w:t xml:space="preserve">the </w:t>
      </w:r>
      <w:r w:rsidRPr="007A43F7">
        <w:rPr>
          <w:b/>
          <w:bCs/>
          <w:sz w:val="24"/>
          <w:szCs w:val="24"/>
        </w:rPr>
        <w:t xml:space="preserve">presenting author to be mentioned in </w:t>
      </w:r>
      <w:r w:rsidR="00B215F7">
        <w:rPr>
          <w:b/>
          <w:bCs/>
          <w:sz w:val="24"/>
          <w:szCs w:val="24"/>
        </w:rPr>
        <w:t xml:space="preserve">the </w:t>
      </w:r>
      <w:r w:rsidRPr="007A43F7">
        <w:rPr>
          <w:b/>
          <w:bCs/>
          <w:sz w:val="24"/>
          <w:szCs w:val="24"/>
        </w:rPr>
        <w:t>certificate:</w:t>
      </w:r>
    </w:p>
    <w:p w14:paraId="2AC2B4A9" w14:textId="3EC30D37" w:rsidR="004A171E" w:rsidRPr="00B215F7" w:rsidRDefault="007A43F7" w:rsidP="007A43F7">
      <w:pPr>
        <w:rPr>
          <w:b/>
          <w:bCs/>
          <w:sz w:val="24"/>
          <w:szCs w:val="24"/>
          <w:lang w:val="en-US"/>
        </w:rPr>
      </w:pPr>
      <w:r w:rsidRPr="007A43F7">
        <w:rPr>
          <w:b/>
          <w:bCs/>
          <w:sz w:val="24"/>
          <w:szCs w:val="24"/>
        </w:rPr>
        <w:t xml:space="preserve">Name: </w:t>
      </w:r>
      <w:r w:rsidR="00B215F7" w:rsidRPr="00B215F7">
        <w:rPr>
          <w:bCs/>
          <w:sz w:val="24"/>
          <w:szCs w:val="24"/>
        </w:rPr>
        <w:t xml:space="preserve">Ahmed Chenna, </w:t>
      </w:r>
      <w:proofErr w:type="spellStart"/>
      <w:r w:rsidR="00B215F7" w:rsidRPr="00B215F7">
        <w:rPr>
          <w:bCs/>
          <w:sz w:val="24"/>
          <w:szCs w:val="24"/>
        </w:rPr>
        <w:t>Ph.D</w:t>
      </w:r>
      <w:proofErr w:type="spellEnd"/>
      <w:r>
        <w:rPr>
          <w:b/>
          <w:bCs/>
          <w:sz w:val="24"/>
          <w:szCs w:val="24"/>
        </w:rPr>
        <w:br/>
      </w:r>
      <w:r w:rsidRPr="007A43F7">
        <w:rPr>
          <w:b/>
          <w:bCs/>
          <w:sz w:val="24"/>
          <w:szCs w:val="24"/>
        </w:rPr>
        <w:t xml:space="preserve">Affiliation: </w:t>
      </w:r>
      <w:r w:rsidR="00B215F7" w:rsidRPr="00B215F7">
        <w:rPr>
          <w:bCs/>
          <w:sz w:val="24"/>
          <w:szCs w:val="24"/>
          <w:lang w:val="en-US"/>
        </w:rPr>
        <w:t>LabCorp-Monogram Biosciences Inc</w:t>
      </w:r>
      <w:r w:rsidR="00B215F7" w:rsidRPr="00B215F7">
        <w:rPr>
          <w:b/>
          <w:bCs/>
          <w:sz w:val="24"/>
          <w:szCs w:val="24"/>
          <w:lang w:val="en-US"/>
        </w:rPr>
        <w:t>.</w:t>
      </w:r>
      <w:r>
        <w:rPr>
          <w:b/>
          <w:bCs/>
          <w:sz w:val="24"/>
          <w:szCs w:val="24"/>
        </w:rPr>
        <w:br/>
      </w:r>
      <w:r w:rsidRPr="007A43F7">
        <w:rPr>
          <w:b/>
          <w:bCs/>
          <w:sz w:val="24"/>
          <w:szCs w:val="24"/>
        </w:rPr>
        <w:t>Country:</w:t>
      </w:r>
      <w:r w:rsidR="00B215F7">
        <w:rPr>
          <w:b/>
          <w:bCs/>
          <w:sz w:val="24"/>
          <w:szCs w:val="24"/>
        </w:rPr>
        <w:t xml:space="preserve"> </w:t>
      </w:r>
      <w:r w:rsidR="00B215F7" w:rsidRPr="00B215F7">
        <w:rPr>
          <w:bCs/>
          <w:sz w:val="24"/>
          <w:szCs w:val="24"/>
        </w:rPr>
        <w:t>USA</w:t>
      </w:r>
    </w:p>
    <w:p w14:paraId="5DD727D1" w14:textId="36948853" w:rsidR="007A43F7" w:rsidRDefault="004A171E" w:rsidP="004A171E">
      <w:pPr>
        <w:pStyle w:val="ListParagraph"/>
        <w:numPr>
          <w:ilvl w:val="0"/>
          <w:numId w:val="1"/>
        </w:numPr>
        <w:rPr>
          <w:b/>
          <w:bCs/>
          <w:sz w:val="24"/>
          <w:szCs w:val="24"/>
        </w:rPr>
      </w:pPr>
      <w:r w:rsidRPr="004A171E">
        <w:rPr>
          <w:b/>
          <w:bCs/>
          <w:sz w:val="24"/>
          <w:szCs w:val="24"/>
        </w:rPr>
        <w:t>Please to attach a recent high-resolution photograph of the presenting author.</w:t>
      </w:r>
    </w:p>
    <w:p w14:paraId="7B3EB49C" w14:textId="5DEB4404" w:rsidR="00B215F7" w:rsidRPr="00B215F7" w:rsidRDefault="00B215F7" w:rsidP="00B215F7">
      <w:pPr>
        <w:rPr>
          <w:b/>
          <w:bCs/>
          <w:sz w:val="24"/>
          <w:szCs w:val="24"/>
        </w:rPr>
      </w:pPr>
      <w:r w:rsidRPr="00B215F7">
        <w:rPr>
          <w:b/>
          <w:bCs/>
          <w:noProof/>
          <w:sz w:val="24"/>
          <w:szCs w:val="24"/>
          <w:lang w:val="en-US"/>
        </w:rPr>
        <w:drawing>
          <wp:inline distT="0" distB="0" distL="0" distR="0" wp14:anchorId="79F0AF42" wp14:editId="6CF3BECA">
            <wp:extent cx="1219200" cy="1609725"/>
            <wp:effectExtent l="0" t="0" r="0" b="9525"/>
            <wp:docPr id="1" name="Picture 1" descr="C:\Users\chenna1\Pictures\20221231_11415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na1\Pictures\20221231_114157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609725"/>
                    </a:xfrm>
                    <a:prstGeom prst="rect">
                      <a:avLst/>
                    </a:prstGeom>
                    <a:noFill/>
                    <a:ln>
                      <a:noFill/>
                    </a:ln>
                  </pic:spPr>
                </pic:pic>
              </a:graphicData>
            </a:graphic>
          </wp:inline>
        </w:drawing>
      </w:r>
    </w:p>
    <w:sectPr w:rsidR="00B215F7" w:rsidRPr="00B215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7FD69" w14:textId="77777777" w:rsidR="003C4FF4" w:rsidRDefault="003C4FF4" w:rsidP="00BE1EA9">
      <w:pPr>
        <w:spacing w:after="0" w:line="240" w:lineRule="auto"/>
      </w:pPr>
      <w:r>
        <w:separator/>
      </w:r>
    </w:p>
  </w:endnote>
  <w:endnote w:type="continuationSeparator" w:id="0">
    <w:p w14:paraId="136C32D1" w14:textId="77777777" w:rsidR="003C4FF4" w:rsidRDefault="003C4FF4" w:rsidP="00BE1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CA57A" w14:textId="77777777" w:rsidR="003C4FF4" w:rsidRDefault="003C4FF4" w:rsidP="00BE1EA9">
      <w:pPr>
        <w:spacing w:after="0" w:line="240" w:lineRule="auto"/>
      </w:pPr>
      <w:r>
        <w:separator/>
      </w:r>
    </w:p>
  </w:footnote>
  <w:footnote w:type="continuationSeparator" w:id="0">
    <w:p w14:paraId="0E760E5E" w14:textId="77777777" w:rsidR="003C4FF4" w:rsidRDefault="003C4FF4" w:rsidP="00BE1E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E98"/>
    <w:multiLevelType w:val="hybridMultilevel"/>
    <w:tmpl w:val="A93AB676"/>
    <w:lvl w:ilvl="0" w:tplc="57663A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72EC7"/>
    <w:multiLevelType w:val="hybridMultilevel"/>
    <w:tmpl w:val="99B06AFA"/>
    <w:lvl w:ilvl="0" w:tplc="57663A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01263"/>
    <w:multiLevelType w:val="hybridMultilevel"/>
    <w:tmpl w:val="B512ED1C"/>
    <w:lvl w:ilvl="0" w:tplc="57663A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823DF3"/>
    <w:multiLevelType w:val="hybridMultilevel"/>
    <w:tmpl w:val="C8A8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833FB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A9"/>
    <w:rsid w:val="00296F9B"/>
    <w:rsid w:val="003C4FF4"/>
    <w:rsid w:val="003F348B"/>
    <w:rsid w:val="004A171E"/>
    <w:rsid w:val="004E5CBB"/>
    <w:rsid w:val="007A43F7"/>
    <w:rsid w:val="00B215F7"/>
    <w:rsid w:val="00BE1EA9"/>
    <w:rsid w:val="00D72669"/>
    <w:rsid w:val="00E52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CED18"/>
  <w15:chartTrackingRefBased/>
  <w15:docId w15:val="{92D4BC56-A6B9-47F1-9EFA-9ED1B7B6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5F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EA9"/>
  </w:style>
  <w:style w:type="paragraph" w:styleId="Footer">
    <w:name w:val="footer"/>
    <w:basedOn w:val="Normal"/>
    <w:link w:val="FooterChar"/>
    <w:uiPriority w:val="99"/>
    <w:unhideWhenUsed/>
    <w:rsid w:val="00BE1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EA9"/>
  </w:style>
  <w:style w:type="paragraph" w:styleId="ListParagraph">
    <w:name w:val="List Paragraph"/>
    <w:basedOn w:val="Normal"/>
    <w:uiPriority w:val="34"/>
    <w:qFormat/>
    <w:rsid w:val="004A1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491</Words>
  <Characters>3262</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Kumar</dc:creator>
  <cp:keywords/>
  <dc:description/>
  <cp:lastModifiedBy>Chenna, Ahmed</cp:lastModifiedBy>
  <cp:revision>4</cp:revision>
  <dcterms:created xsi:type="dcterms:W3CDTF">2024-03-27T23:12:00Z</dcterms:created>
  <dcterms:modified xsi:type="dcterms:W3CDTF">2024-03-27T23:15:00Z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6a5f9e90ffd49ab4d827ad4c90218dba32068f0c5e99256c6a609ea5e21b3546</vt:lpwstr>
  </property>
</Properties>
</file>