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C9DD6" w14:textId="0F2CE976" w:rsidR="006C7B3B" w:rsidRDefault="006C7B3B" w:rsidP="00BE1EA9">
      <w:pPr>
        <w:jc w:val="center"/>
        <w:rPr>
          <w:b/>
          <w:bCs/>
          <w:sz w:val="24"/>
          <w:szCs w:val="24"/>
        </w:rPr>
      </w:pPr>
      <w:r w:rsidRPr="006C7B3B">
        <w:rPr>
          <w:b/>
          <w:bCs/>
          <w:sz w:val="24"/>
          <w:szCs w:val="24"/>
        </w:rPr>
        <w:t>AUTOTAXIN AS NOVEL BIOMARKER OF MIGRAINE</w:t>
      </w:r>
    </w:p>
    <w:p w14:paraId="49051009" w14:textId="3A126183" w:rsidR="006C7B3B" w:rsidRPr="006C7B3B" w:rsidRDefault="006C7B3B" w:rsidP="006C7B3B">
      <w:pPr>
        <w:pStyle w:val="MDPI13authornames"/>
        <w:spacing w:line="240" w:lineRule="auto"/>
        <w:jc w:val="both"/>
        <w:rPr>
          <w:rFonts w:asciiTheme="minorHAnsi" w:hAnsiTheme="minorHAnsi" w:cstheme="minorHAnsi"/>
          <w:sz w:val="22"/>
          <w:lang w:val="es-ES"/>
        </w:rPr>
      </w:pPr>
      <w:r w:rsidRPr="006C7B3B">
        <w:rPr>
          <w:rFonts w:asciiTheme="minorHAnsi" w:hAnsiTheme="minorHAnsi" w:cstheme="minorHAnsi"/>
          <w:sz w:val="22"/>
          <w:lang w:val="es-ES"/>
        </w:rPr>
        <w:t>Alberto Ouro</w:t>
      </w:r>
      <w:r w:rsidRPr="006C7B3B">
        <w:rPr>
          <w:rFonts w:asciiTheme="minorHAnsi" w:hAnsiTheme="minorHAnsi" w:cstheme="minorHAnsi"/>
          <w:sz w:val="22"/>
          <w:vertAlign w:val="superscript"/>
          <w:lang w:val="es-ES"/>
        </w:rPr>
        <w:t>1,2</w:t>
      </w:r>
      <w:r w:rsidRPr="006C7B3B">
        <w:rPr>
          <w:rFonts w:asciiTheme="minorHAnsi" w:hAnsiTheme="minorHAnsi" w:cstheme="minorHAnsi"/>
          <w:sz w:val="22"/>
          <w:lang w:val="es-ES"/>
        </w:rPr>
        <w:t>,</w:t>
      </w:r>
      <w:r w:rsidRPr="006C7B3B">
        <w:rPr>
          <w:rFonts w:asciiTheme="minorHAnsi" w:hAnsiTheme="minorHAnsi" w:cstheme="minorHAnsi"/>
          <w:sz w:val="22"/>
          <w:vertAlign w:val="superscript"/>
          <w:lang w:val="es-ES"/>
        </w:rPr>
        <w:t xml:space="preserve"> </w:t>
      </w:r>
      <w:r w:rsidRPr="006C7B3B">
        <w:rPr>
          <w:rFonts w:asciiTheme="minorHAnsi" w:hAnsiTheme="minorHAnsi" w:cstheme="minorHAnsi"/>
          <w:sz w:val="22"/>
          <w:lang w:val="es-ES"/>
        </w:rPr>
        <w:t>Mónica Castro-Mosquera</w:t>
      </w:r>
      <w:r w:rsidRPr="006C7B3B">
        <w:rPr>
          <w:rFonts w:asciiTheme="minorHAnsi" w:hAnsiTheme="minorHAnsi" w:cstheme="minorHAnsi"/>
          <w:sz w:val="22"/>
          <w:vertAlign w:val="superscript"/>
          <w:lang w:val="es-ES"/>
        </w:rPr>
        <w:t>1</w:t>
      </w:r>
      <w:r w:rsidRPr="006C7B3B">
        <w:rPr>
          <w:rFonts w:asciiTheme="minorHAnsi" w:hAnsiTheme="minorHAnsi" w:cstheme="minorHAnsi"/>
          <w:sz w:val="22"/>
          <w:lang w:val="es-ES"/>
        </w:rPr>
        <w:t xml:space="preserve">, </w:t>
      </w:r>
      <w:r w:rsidRPr="006C7B3B">
        <w:rPr>
          <w:rFonts w:asciiTheme="minorHAnsi" w:hAnsiTheme="minorHAnsi" w:cstheme="minorHAnsi"/>
          <w:sz w:val="22"/>
          <w:lang w:val="es-ES" w:bidi="ar-SA"/>
        </w:rPr>
        <w:t>Yago Leira</w:t>
      </w:r>
      <w:r w:rsidRPr="006C7B3B">
        <w:rPr>
          <w:rFonts w:asciiTheme="minorHAnsi" w:hAnsiTheme="minorHAnsi" w:cstheme="minorHAnsi"/>
          <w:sz w:val="22"/>
          <w:vertAlign w:val="superscript"/>
          <w:lang w:val="es-ES" w:bidi="ar-SA"/>
        </w:rPr>
        <w:t>1,2</w:t>
      </w:r>
      <w:r w:rsidRPr="006C7B3B">
        <w:rPr>
          <w:rFonts w:asciiTheme="minorHAnsi" w:hAnsiTheme="minorHAnsi" w:cstheme="minorHAnsi"/>
          <w:sz w:val="22"/>
          <w:lang w:val="es-ES" w:bidi="ar-SA"/>
        </w:rPr>
        <w:t>,</w:t>
      </w:r>
      <w:r w:rsidRPr="006C7B3B">
        <w:rPr>
          <w:rFonts w:asciiTheme="minorHAnsi" w:hAnsiTheme="minorHAnsi" w:cstheme="minorHAnsi"/>
          <w:sz w:val="22"/>
          <w:vertAlign w:val="superscript"/>
          <w:lang w:val="es-ES"/>
        </w:rPr>
        <w:t xml:space="preserve"> </w:t>
      </w:r>
      <w:proofErr w:type="spellStart"/>
      <w:r w:rsidRPr="006C7B3B">
        <w:rPr>
          <w:rFonts w:asciiTheme="minorHAnsi" w:hAnsiTheme="minorHAnsi" w:cstheme="minorHAnsi"/>
          <w:sz w:val="22"/>
          <w:lang w:val="es-ES"/>
        </w:rPr>
        <w:t>Mariña</w:t>
      </w:r>
      <w:proofErr w:type="spellEnd"/>
      <w:r w:rsidRPr="006C7B3B">
        <w:rPr>
          <w:rFonts w:asciiTheme="minorHAnsi" w:hAnsiTheme="minorHAnsi" w:cstheme="minorHAnsi"/>
          <w:sz w:val="22"/>
          <w:lang w:val="es-ES"/>
        </w:rPr>
        <w:t xml:space="preserve"> Rodríguez-Arrizabalaga</w:t>
      </w:r>
      <w:r w:rsidRPr="006C7B3B">
        <w:rPr>
          <w:rFonts w:asciiTheme="minorHAnsi" w:hAnsiTheme="minorHAnsi" w:cstheme="minorHAnsi"/>
          <w:sz w:val="22"/>
          <w:vertAlign w:val="superscript"/>
          <w:lang w:val="es-ES"/>
        </w:rPr>
        <w:t>1</w:t>
      </w:r>
      <w:r w:rsidRPr="006C7B3B">
        <w:rPr>
          <w:rFonts w:asciiTheme="minorHAnsi" w:hAnsiTheme="minorHAnsi" w:cstheme="minorHAnsi"/>
          <w:sz w:val="22"/>
          <w:lang w:val="es-ES"/>
        </w:rPr>
        <w:t>, Manuel Debasa-Mouce</w:t>
      </w:r>
      <w:r w:rsidRPr="006C7B3B">
        <w:rPr>
          <w:rFonts w:asciiTheme="minorHAnsi" w:hAnsiTheme="minorHAnsi" w:cstheme="minorHAnsi"/>
          <w:sz w:val="22"/>
          <w:vertAlign w:val="superscript"/>
          <w:lang w:val="es-ES"/>
        </w:rPr>
        <w:t>1</w:t>
      </w:r>
      <w:r w:rsidRPr="006C7B3B">
        <w:rPr>
          <w:rFonts w:asciiTheme="minorHAnsi" w:hAnsiTheme="minorHAnsi" w:cstheme="minorHAnsi"/>
          <w:sz w:val="22"/>
          <w:lang w:val="es-ES"/>
        </w:rPr>
        <w:t>, Daniel Romaus-Sanjurjo</w:t>
      </w:r>
      <w:r w:rsidRPr="006C7B3B">
        <w:rPr>
          <w:rFonts w:asciiTheme="minorHAnsi" w:hAnsiTheme="minorHAnsi" w:cstheme="minorHAnsi"/>
          <w:sz w:val="22"/>
          <w:vertAlign w:val="superscript"/>
          <w:lang w:val="es-ES"/>
        </w:rPr>
        <w:t>1,2</w:t>
      </w:r>
      <w:r w:rsidRPr="006C7B3B">
        <w:rPr>
          <w:rFonts w:asciiTheme="minorHAnsi" w:hAnsiTheme="minorHAnsi" w:cstheme="minorHAnsi"/>
          <w:sz w:val="22"/>
          <w:lang w:val="es-ES"/>
        </w:rPr>
        <w:t>, Marta Aramburu-Nuñez</w:t>
      </w:r>
      <w:r w:rsidRPr="006C7B3B">
        <w:rPr>
          <w:rFonts w:asciiTheme="minorHAnsi" w:hAnsiTheme="minorHAnsi" w:cstheme="minorHAnsi"/>
          <w:sz w:val="22"/>
          <w:vertAlign w:val="superscript"/>
          <w:lang w:val="es-ES"/>
        </w:rPr>
        <w:t>1</w:t>
      </w:r>
      <w:r w:rsidRPr="006C7B3B">
        <w:rPr>
          <w:rFonts w:asciiTheme="minorHAnsi" w:hAnsiTheme="minorHAnsi" w:cstheme="minorHAnsi"/>
          <w:sz w:val="22"/>
          <w:vertAlign w:val="superscript"/>
          <w:lang w:val="es-ES" w:bidi="ar-SA"/>
        </w:rPr>
        <w:t>,2</w:t>
      </w:r>
      <w:r w:rsidRPr="006C7B3B">
        <w:rPr>
          <w:rFonts w:asciiTheme="minorHAnsi" w:hAnsiTheme="minorHAnsi" w:cstheme="minorHAnsi"/>
          <w:sz w:val="22"/>
          <w:lang w:val="es-ES" w:bidi="ar-SA"/>
        </w:rPr>
        <w:t>,</w:t>
      </w:r>
      <w:r w:rsidRPr="006C7B3B">
        <w:rPr>
          <w:rFonts w:asciiTheme="minorHAnsi" w:hAnsiTheme="minorHAnsi" w:cstheme="minorHAnsi"/>
          <w:sz w:val="22"/>
          <w:lang w:val="es-ES"/>
        </w:rPr>
        <w:t xml:space="preserve"> </w:t>
      </w:r>
      <w:r>
        <w:rPr>
          <w:rFonts w:asciiTheme="minorHAnsi" w:hAnsiTheme="minorHAnsi" w:cstheme="minorHAnsi"/>
          <w:sz w:val="22"/>
          <w:lang w:val="es-ES"/>
        </w:rPr>
        <w:t>Antía Custodia</w:t>
      </w:r>
      <w:r w:rsidRPr="006C7B3B">
        <w:rPr>
          <w:rFonts w:asciiTheme="minorHAnsi" w:hAnsiTheme="minorHAnsi" w:cstheme="minorHAnsi"/>
          <w:sz w:val="22"/>
          <w:vertAlign w:val="superscript"/>
          <w:lang w:val="es-ES"/>
        </w:rPr>
        <w:t>1,2</w:t>
      </w:r>
      <w:r>
        <w:rPr>
          <w:rFonts w:asciiTheme="minorHAnsi" w:hAnsiTheme="minorHAnsi" w:cstheme="minorHAnsi"/>
          <w:sz w:val="22"/>
          <w:lang w:val="es-ES"/>
        </w:rPr>
        <w:t xml:space="preserve">, </w:t>
      </w:r>
      <w:r w:rsidRPr="006C7B3B">
        <w:rPr>
          <w:rFonts w:asciiTheme="minorHAnsi" w:hAnsiTheme="minorHAnsi" w:cstheme="minorHAnsi"/>
          <w:sz w:val="22"/>
          <w:lang w:val="es-ES" w:bidi="ar-SA"/>
        </w:rPr>
        <w:t>Ramón Iglesias-Rey</w:t>
      </w:r>
      <w:r w:rsidRPr="006C7B3B">
        <w:rPr>
          <w:rFonts w:asciiTheme="minorHAnsi" w:hAnsiTheme="minorHAnsi" w:cstheme="minorHAnsi"/>
          <w:sz w:val="22"/>
          <w:vertAlign w:val="superscript"/>
          <w:lang w:val="es-ES" w:bidi="ar-SA"/>
        </w:rPr>
        <w:t>3</w:t>
      </w:r>
      <w:r w:rsidRPr="006C7B3B">
        <w:rPr>
          <w:rFonts w:asciiTheme="minorHAnsi" w:hAnsiTheme="minorHAnsi" w:cstheme="minorHAnsi"/>
          <w:sz w:val="22"/>
          <w:lang w:val="es-ES" w:bidi="ar-SA"/>
        </w:rPr>
        <w:t>,</w:t>
      </w:r>
      <w:r w:rsidRPr="006C7B3B">
        <w:rPr>
          <w:rFonts w:asciiTheme="minorHAnsi" w:hAnsiTheme="minorHAnsi" w:cstheme="minorHAnsi"/>
          <w:sz w:val="22"/>
          <w:lang w:val="es-ES"/>
        </w:rPr>
        <w:t xml:space="preserve"> Josefina Casas</w:t>
      </w:r>
      <w:r w:rsidRPr="006C7B3B">
        <w:rPr>
          <w:rFonts w:asciiTheme="minorHAnsi" w:hAnsiTheme="minorHAnsi" w:cstheme="minorHAnsi"/>
          <w:sz w:val="22"/>
          <w:vertAlign w:val="superscript"/>
          <w:lang w:val="es-ES"/>
        </w:rPr>
        <w:t>4,5</w:t>
      </w:r>
      <w:r w:rsidRPr="006C7B3B">
        <w:rPr>
          <w:rFonts w:asciiTheme="minorHAnsi" w:hAnsiTheme="minorHAnsi" w:cstheme="minorHAnsi"/>
          <w:sz w:val="22"/>
          <w:lang w:val="es-ES"/>
        </w:rPr>
        <w:t>, Isabel Lema</w:t>
      </w:r>
      <w:r w:rsidRPr="006C7B3B">
        <w:rPr>
          <w:rFonts w:asciiTheme="minorHAnsi" w:hAnsiTheme="minorHAnsi" w:cstheme="minorHAnsi"/>
          <w:sz w:val="22"/>
          <w:vertAlign w:val="superscript"/>
          <w:lang w:val="es-ES"/>
        </w:rPr>
        <w:t>6,7,8</w:t>
      </w:r>
      <w:r w:rsidRPr="006C7B3B">
        <w:rPr>
          <w:rFonts w:asciiTheme="minorHAnsi" w:hAnsiTheme="minorHAnsi" w:cstheme="minorHAnsi"/>
          <w:sz w:val="22"/>
          <w:lang w:val="es-ES"/>
        </w:rPr>
        <w:t>, José Castillo</w:t>
      </w:r>
      <w:r w:rsidRPr="006C7B3B">
        <w:rPr>
          <w:rFonts w:asciiTheme="minorHAnsi" w:hAnsiTheme="minorHAnsi" w:cstheme="minorHAnsi"/>
          <w:sz w:val="22"/>
          <w:vertAlign w:val="superscript"/>
          <w:lang w:val="es-ES"/>
        </w:rPr>
        <w:t>3</w:t>
      </w:r>
      <w:r w:rsidRPr="006C7B3B">
        <w:rPr>
          <w:rFonts w:asciiTheme="minorHAnsi" w:hAnsiTheme="minorHAnsi" w:cstheme="minorHAnsi"/>
          <w:sz w:val="22"/>
          <w:lang w:val="es-ES"/>
        </w:rPr>
        <w:t>, Rogelio Leira</w:t>
      </w:r>
      <w:r w:rsidRPr="006C7B3B">
        <w:rPr>
          <w:rFonts w:asciiTheme="minorHAnsi" w:hAnsiTheme="minorHAnsi" w:cstheme="minorHAnsi"/>
          <w:sz w:val="22"/>
          <w:vertAlign w:val="superscript"/>
          <w:lang w:val="es-ES"/>
        </w:rPr>
        <w:t>9</w:t>
      </w:r>
      <w:r w:rsidRPr="006C7B3B">
        <w:rPr>
          <w:rFonts w:asciiTheme="minorHAnsi" w:hAnsiTheme="minorHAnsi" w:cstheme="minorHAnsi"/>
          <w:sz w:val="22"/>
          <w:lang w:val="es-ES"/>
        </w:rPr>
        <w:t xml:space="preserve"> and Tomás Sobrino</w:t>
      </w:r>
      <w:r w:rsidRPr="006C7B3B">
        <w:rPr>
          <w:rFonts w:asciiTheme="minorHAnsi" w:hAnsiTheme="minorHAnsi" w:cstheme="minorHAnsi"/>
          <w:sz w:val="22"/>
          <w:vertAlign w:val="superscript"/>
          <w:lang w:val="es-ES"/>
        </w:rPr>
        <w:t>1,2</w:t>
      </w:r>
    </w:p>
    <w:p w14:paraId="6244FDA3" w14:textId="4DF86B02"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sz w:val="20"/>
          <w:szCs w:val="20"/>
        </w:rPr>
      </w:pPr>
      <w:proofErr w:type="spellStart"/>
      <w:r w:rsidRPr="006C7B3B">
        <w:rPr>
          <w:rFonts w:asciiTheme="minorHAnsi" w:hAnsiTheme="minorHAnsi" w:cstheme="minorHAnsi"/>
          <w:sz w:val="20"/>
          <w:szCs w:val="20"/>
        </w:rPr>
        <w:t>NeuroAging</w:t>
      </w:r>
      <w:proofErr w:type="spellEnd"/>
      <w:r w:rsidRPr="006C7B3B">
        <w:rPr>
          <w:rFonts w:asciiTheme="minorHAnsi" w:hAnsiTheme="minorHAnsi" w:cstheme="minorHAnsi"/>
          <w:sz w:val="20"/>
          <w:szCs w:val="20"/>
        </w:rPr>
        <w:t xml:space="preserve"> Group Laboratory (NEURAL), Clinical Neurosciences Research Laboratory (LINC), Health Research Institute of Santiago de Compostela (IDIS), Santiago de Compostela, Spain.</w:t>
      </w:r>
    </w:p>
    <w:p w14:paraId="0BC3444A" w14:textId="77777777"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sz w:val="20"/>
          <w:szCs w:val="20"/>
          <w:lang w:val="es-ES"/>
        </w:rPr>
      </w:pPr>
      <w:r w:rsidRPr="006C7B3B">
        <w:rPr>
          <w:rFonts w:asciiTheme="minorHAnsi" w:hAnsiTheme="minorHAnsi" w:cstheme="minorHAnsi"/>
          <w:color w:val="000000" w:themeColor="text1"/>
          <w:sz w:val="20"/>
          <w:szCs w:val="20"/>
          <w:lang w:val="es-ES" w:eastAsia="es-ES_tradnl"/>
        </w:rPr>
        <w:t>Centro de investigación Biomédica en Red de Enfermedades Neurodegenerativas, Instituto de Salud Carlos III</w:t>
      </w:r>
    </w:p>
    <w:p w14:paraId="5D1F77D7" w14:textId="069469E3"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sz w:val="20"/>
          <w:szCs w:val="20"/>
        </w:rPr>
      </w:pPr>
      <w:r w:rsidRPr="006C7B3B">
        <w:rPr>
          <w:rFonts w:asciiTheme="minorHAnsi" w:hAnsiTheme="minorHAnsi" w:cstheme="minorHAnsi"/>
          <w:sz w:val="20"/>
          <w:szCs w:val="20"/>
        </w:rPr>
        <w:t>Neuroimaging and Biotechnology Laboratory (NOBEL), Clinical Neurosciences Research Laboratory (LINC), Health Research Institute of Santiago de Compostela (IDIS), Santiago de Compostela, Spain</w:t>
      </w:r>
      <w:r w:rsidRPr="006C7B3B">
        <w:rPr>
          <w:rFonts w:asciiTheme="minorHAnsi" w:hAnsiTheme="minorHAnsi" w:cstheme="minorHAnsi"/>
          <w:sz w:val="20"/>
          <w:szCs w:val="20"/>
        </w:rPr>
        <w:t>.</w:t>
      </w:r>
    </w:p>
    <w:p w14:paraId="1B454C59" w14:textId="138A0554"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color w:val="212121"/>
          <w:sz w:val="20"/>
          <w:szCs w:val="20"/>
          <w:shd w:val="clear" w:color="auto" w:fill="FFFFFF"/>
        </w:rPr>
      </w:pPr>
      <w:r w:rsidRPr="006C7B3B">
        <w:rPr>
          <w:rFonts w:asciiTheme="minorHAnsi" w:hAnsiTheme="minorHAnsi" w:cstheme="minorHAnsi"/>
          <w:color w:val="212121"/>
          <w:sz w:val="20"/>
          <w:szCs w:val="20"/>
          <w:shd w:val="clear" w:color="auto" w:fill="FFFFFF"/>
        </w:rPr>
        <w:t xml:space="preserve">Research Unit on </w:t>
      </w:r>
      <w:proofErr w:type="spellStart"/>
      <w:r w:rsidRPr="006C7B3B">
        <w:rPr>
          <w:rFonts w:asciiTheme="minorHAnsi" w:hAnsiTheme="minorHAnsi" w:cstheme="minorHAnsi"/>
          <w:color w:val="212121"/>
          <w:sz w:val="20"/>
          <w:szCs w:val="20"/>
          <w:shd w:val="clear" w:color="auto" w:fill="FFFFFF"/>
        </w:rPr>
        <w:t>BioActive</w:t>
      </w:r>
      <w:proofErr w:type="spellEnd"/>
      <w:r w:rsidRPr="006C7B3B">
        <w:rPr>
          <w:rFonts w:asciiTheme="minorHAnsi" w:hAnsiTheme="minorHAnsi" w:cstheme="minorHAnsi"/>
          <w:color w:val="212121"/>
          <w:sz w:val="20"/>
          <w:szCs w:val="20"/>
          <w:shd w:val="clear" w:color="auto" w:fill="FFFFFF"/>
        </w:rPr>
        <w:t xml:space="preserve"> Molecules, Department of Biological Chemistry, Institute for Advanced Chemistry of Catalonia (IQAC-CSIC), 08034 Barcelona, Spain</w:t>
      </w:r>
      <w:r w:rsidRPr="006C7B3B">
        <w:rPr>
          <w:rFonts w:asciiTheme="minorHAnsi" w:hAnsiTheme="minorHAnsi" w:cstheme="minorHAnsi"/>
          <w:color w:val="212121"/>
          <w:sz w:val="20"/>
          <w:szCs w:val="20"/>
          <w:shd w:val="clear" w:color="auto" w:fill="FFFFFF"/>
        </w:rPr>
        <w:t>.</w:t>
      </w:r>
    </w:p>
    <w:p w14:paraId="4C8EB29F" w14:textId="77777777"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color w:val="212121"/>
          <w:sz w:val="20"/>
          <w:szCs w:val="20"/>
          <w:shd w:val="clear" w:color="auto" w:fill="FFFFFF"/>
        </w:rPr>
      </w:pPr>
      <w:r w:rsidRPr="006C7B3B">
        <w:rPr>
          <w:rFonts w:asciiTheme="minorHAnsi" w:hAnsiTheme="minorHAnsi" w:cstheme="minorHAnsi"/>
          <w:color w:val="212121"/>
          <w:sz w:val="20"/>
          <w:szCs w:val="20"/>
          <w:shd w:val="clear" w:color="auto" w:fill="FFFFFF"/>
        </w:rPr>
        <w:t>Liver and Digestive Diseases Networking Biomedical Research Centre (CIBEREHD), ISCIII, 28029 Madrid, Spain.</w:t>
      </w:r>
    </w:p>
    <w:p w14:paraId="196751C2" w14:textId="18C1597F"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color w:val="212121"/>
          <w:sz w:val="20"/>
          <w:szCs w:val="20"/>
          <w:shd w:val="clear" w:color="auto" w:fill="FFFFFF"/>
        </w:rPr>
      </w:pPr>
      <w:r w:rsidRPr="006C7B3B">
        <w:rPr>
          <w:rFonts w:asciiTheme="minorHAnsi" w:hAnsiTheme="minorHAnsi" w:cstheme="minorHAnsi"/>
          <w:color w:val="212121"/>
          <w:sz w:val="20"/>
          <w:szCs w:val="20"/>
          <w:shd w:val="clear" w:color="auto" w:fill="FFFFFF"/>
        </w:rPr>
        <w:t>Corneal Neurodegeneration Group (RENOIR), Clinical Neurosciences Research Laboratory (LINC), Health Research Institute of Santiago de Compostela (IDIS), 15706 Santiago de Compostela, Spain</w:t>
      </w:r>
      <w:r w:rsidRPr="006C7B3B">
        <w:rPr>
          <w:rFonts w:asciiTheme="minorHAnsi" w:hAnsiTheme="minorHAnsi" w:cstheme="minorHAnsi"/>
          <w:color w:val="212121"/>
          <w:sz w:val="20"/>
          <w:szCs w:val="20"/>
          <w:shd w:val="clear" w:color="auto" w:fill="FFFFFF"/>
        </w:rPr>
        <w:t>.</w:t>
      </w:r>
    </w:p>
    <w:p w14:paraId="2BB84AB5" w14:textId="77777777"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color w:val="212121"/>
          <w:sz w:val="20"/>
          <w:szCs w:val="20"/>
          <w:shd w:val="clear" w:color="auto" w:fill="FFFFFF"/>
        </w:rPr>
      </w:pPr>
      <w:r w:rsidRPr="006C7B3B">
        <w:rPr>
          <w:rFonts w:asciiTheme="minorHAnsi" w:hAnsiTheme="minorHAnsi" w:cstheme="minorHAnsi"/>
          <w:color w:val="212121"/>
          <w:sz w:val="20"/>
          <w:szCs w:val="20"/>
          <w:shd w:val="clear" w:color="auto" w:fill="FFFFFF"/>
        </w:rPr>
        <w:t xml:space="preserve">Department of Surgery and Medical-Surgical Specialties, Faculty of Optics and Optometry, </w:t>
      </w:r>
      <w:proofErr w:type="spellStart"/>
      <w:r w:rsidRPr="006C7B3B">
        <w:rPr>
          <w:rFonts w:asciiTheme="minorHAnsi" w:hAnsiTheme="minorHAnsi" w:cstheme="minorHAnsi"/>
          <w:color w:val="212121"/>
          <w:sz w:val="20"/>
          <w:szCs w:val="20"/>
          <w:shd w:val="clear" w:color="auto" w:fill="FFFFFF"/>
        </w:rPr>
        <w:t>Universidade</w:t>
      </w:r>
      <w:proofErr w:type="spellEnd"/>
      <w:r w:rsidRPr="006C7B3B">
        <w:rPr>
          <w:rFonts w:asciiTheme="minorHAnsi" w:hAnsiTheme="minorHAnsi" w:cstheme="minorHAnsi"/>
          <w:color w:val="212121"/>
          <w:sz w:val="20"/>
          <w:szCs w:val="20"/>
          <w:shd w:val="clear" w:color="auto" w:fill="FFFFFF"/>
        </w:rPr>
        <w:t xml:space="preserve"> de Santiago de Compostela, 15706 Santiago de Compostela, Spain.</w:t>
      </w:r>
    </w:p>
    <w:p w14:paraId="5816C351" w14:textId="77777777"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color w:val="212121"/>
          <w:sz w:val="20"/>
          <w:szCs w:val="20"/>
          <w:shd w:val="clear" w:color="auto" w:fill="FFFFFF"/>
          <w:lang w:val="es-ES"/>
        </w:rPr>
      </w:pPr>
      <w:r w:rsidRPr="006C7B3B">
        <w:rPr>
          <w:rFonts w:asciiTheme="minorHAnsi" w:hAnsiTheme="minorHAnsi" w:cstheme="minorHAnsi"/>
          <w:color w:val="212121"/>
          <w:sz w:val="20"/>
          <w:szCs w:val="20"/>
          <w:shd w:val="clear" w:color="auto" w:fill="FFFFFF"/>
          <w:lang w:val="es-ES"/>
        </w:rPr>
        <w:t xml:space="preserve">Instituto </w:t>
      </w:r>
      <w:proofErr w:type="spellStart"/>
      <w:r w:rsidRPr="006C7B3B">
        <w:rPr>
          <w:rFonts w:asciiTheme="minorHAnsi" w:hAnsiTheme="minorHAnsi" w:cstheme="minorHAnsi"/>
          <w:color w:val="212121"/>
          <w:sz w:val="20"/>
          <w:szCs w:val="20"/>
          <w:shd w:val="clear" w:color="auto" w:fill="FFFFFF"/>
          <w:lang w:val="es-ES"/>
        </w:rPr>
        <w:t>Galego</w:t>
      </w:r>
      <w:proofErr w:type="spellEnd"/>
      <w:r w:rsidRPr="006C7B3B">
        <w:rPr>
          <w:rFonts w:asciiTheme="minorHAnsi" w:hAnsiTheme="minorHAnsi" w:cstheme="minorHAnsi"/>
          <w:color w:val="212121"/>
          <w:sz w:val="20"/>
          <w:szCs w:val="20"/>
          <w:shd w:val="clear" w:color="auto" w:fill="FFFFFF"/>
          <w:lang w:val="es-ES"/>
        </w:rPr>
        <w:t xml:space="preserve"> de </w:t>
      </w:r>
      <w:proofErr w:type="spellStart"/>
      <w:r w:rsidRPr="006C7B3B">
        <w:rPr>
          <w:rFonts w:asciiTheme="minorHAnsi" w:hAnsiTheme="minorHAnsi" w:cstheme="minorHAnsi"/>
          <w:color w:val="212121"/>
          <w:sz w:val="20"/>
          <w:szCs w:val="20"/>
          <w:shd w:val="clear" w:color="auto" w:fill="FFFFFF"/>
          <w:lang w:val="es-ES"/>
        </w:rPr>
        <w:t>Oftalmoloxía</w:t>
      </w:r>
      <w:proofErr w:type="spellEnd"/>
      <w:r w:rsidRPr="006C7B3B">
        <w:rPr>
          <w:rFonts w:asciiTheme="minorHAnsi" w:hAnsiTheme="minorHAnsi" w:cstheme="minorHAnsi"/>
          <w:color w:val="212121"/>
          <w:sz w:val="20"/>
          <w:szCs w:val="20"/>
          <w:shd w:val="clear" w:color="auto" w:fill="FFFFFF"/>
          <w:lang w:val="es-ES"/>
        </w:rPr>
        <w:t xml:space="preserve"> (INGO), Hospital Provincial de </w:t>
      </w:r>
      <w:proofErr w:type="spellStart"/>
      <w:r w:rsidRPr="006C7B3B">
        <w:rPr>
          <w:rFonts w:asciiTheme="minorHAnsi" w:hAnsiTheme="minorHAnsi" w:cstheme="minorHAnsi"/>
          <w:color w:val="212121"/>
          <w:sz w:val="20"/>
          <w:szCs w:val="20"/>
          <w:shd w:val="clear" w:color="auto" w:fill="FFFFFF"/>
          <w:lang w:val="es-ES"/>
        </w:rPr>
        <w:t>Conxo</w:t>
      </w:r>
      <w:proofErr w:type="spellEnd"/>
      <w:r w:rsidRPr="006C7B3B">
        <w:rPr>
          <w:rFonts w:asciiTheme="minorHAnsi" w:hAnsiTheme="minorHAnsi" w:cstheme="minorHAnsi"/>
          <w:color w:val="212121"/>
          <w:sz w:val="20"/>
          <w:szCs w:val="20"/>
          <w:shd w:val="clear" w:color="auto" w:fill="FFFFFF"/>
          <w:lang w:val="es-ES"/>
        </w:rPr>
        <w:t xml:space="preserve">, 15706 Santiago de Compostela, </w:t>
      </w:r>
      <w:proofErr w:type="spellStart"/>
      <w:r w:rsidRPr="006C7B3B">
        <w:rPr>
          <w:rFonts w:asciiTheme="minorHAnsi" w:hAnsiTheme="minorHAnsi" w:cstheme="minorHAnsi"/>
          <w:color w:val="212121"/>
          <w:sz w:val="20"/>
          <w:szCs w:val="20"/>
          <w:shd w:val="clear" w:color="auto" w:fill="FFFFFF"/>
          <w:lang w:val="es-ES"/>
        </w:rPr>
        <w:t>Spain</w:t>
      </w:r>
      <w:proofErr w:type="spellEnd"/>
      <w:r w:rsidRPr="006C7B3B">
        <w:rPr>
          <w:rFonts w:asciiTheme="minorHAnsi" w:hAnsiTheme="minorHAnsi" w:cstheme="minorHAnsi"/>
          <w:color w:val="212121"/>
          <w:sz w:val="20"/>
          <w:szCs w:val="20"/>
          <w:shd w:val="clear" w:color="auto" w:fill="FFFFFF"/>
          <w:lang w:val="es-ES"/>
        </w:rPr>
        <w:t>.</w:t>
      </w:r>
    </w:p>
    <w:p w14:paraId="7C4FD1CA" w14:textId="4C9310E9" w:rsidR="006C7B3B" w:rsidRPr="006C7B3B" w:rsidRDefault="006C7B3B" w:rsidP="006C7B3B">
      <w:pPr>
        <w:pStyle w:val="MDPI16affiliation"/>
        <w:numPr>
          <w:ilvl w:val="0"/>
          <w:numId w:val="2"/>
        </w:numPr>
        <w:spacing w:line="240" w:lineRule="auto"/>
        <w:ind w:left="567"/>
        <w:jc w:val="both"/>
        <w:rPr>
          <w:rFonts w:asciiTheme="minorHAnsi" w:hAnsiTheme="minorHAnsi" w:cstheme="minorHAnsi"/>
          <w:sz w:val="20"/>
          <w:szCs w:val="20"/>
          <w:lang w:val="es-ES"/>
        </w:rPr>
      </w:pPr>
      <w:proofErr w:type="spellStart"/>
      <w:r w:rsidRPr="006C7B3B">
        <w:rPr>
          <w:rFonts w:asciiTheme="minorHAnsi" w:hAnsiTheme="minorHAnsi" w:cstheme="minorHAnsi"/>
          <w:color w:val="212121"/>
          <w:sz w:val="20"/>
          <w:szCs w:val="20"/>
          <w:shd w:val="clear" w:color="auto" w:fill="FFFFFF"/>
          <w:lang w:val="es-ES"/>
        </w:rPr>
        <w:t>Department</w:t>
      </w:r>
      <w:proofErr w:type="spellEnd"/>
      <w:r w:rsidRPr="006C7B3B">
        <w:rPr>
          <w:rFonts w:asciiTheme="minorHAnsi" w:hAnsiTheme="minorHAnsi" w:cstheme="minorHAnsi"/>
          <w:color w:val="212121"/>
          <w:sz w:val="20"/>
          <w:szCs w:val="20"/>
          <w:shd w:val="clear" w:color="auto" w:fill="FFFFFF"/>
          <w:lang w:val="es-ES"/>
        </w:rPr>
        <w:t xml:space="preserve"> </w:t>
      </w:r>
      <w:proofErr w:type="spellStart"/>
      <w:r w:rsidRPr="006C7B3B">
        <w:rPr>
          <w:rFonts w:asciiTheme="minorHAnsi" w:hAnsiTheme="minorHAnsi" w:cstheme="minorHAnsi"/>
          <w:color w:val="212121"/>
          <w:sz w:val="20"/>
          <w:szCs w:val="20"/>
          <w:shd w:val="clear" w:color="auto" w:fill="FFFFFF"/>
          <w:lang w:val="es-ES"/>
        </w:rPr>
        <w:t>of</w:t>
      </w:r>
      <w:proofErr w:type="spellEnd"/>
      <w:r w:rsidRPr="006C7B3B">
        <w:rPr>
          <w:rFonts w:asciiTheme="minorHAnsi" w:hAnsiTheme="minorHAnsi" w:cstheme="minorHAnsi"/>
          <w:color w:val="212121"/>
          <w:sz w:val="20"/>
          <w:szCs w:val="20"/>
          <w:shd w:val="clear" w:color="auto" w:fill="FFFFFF"/>
          <w:lang w:val="es-ES"/>
        </w:rPr>
        <w:t xml:space="preserve"> </w:t>
      </w:r>
      <w:proofErr w:type="spellStart"/>
      <w:r w:rsidRPr="006C7B3B">
        <w:rPr>
          <w:rFonts w:asciiTheme="minorHAnsi" w:hAnsiTheme="minorHAnsi" w:cstheme="minorHAnsi"/>
          <w:color w:val="212121"/>
          <w:sz w:val="20"/>
          <w:szCs w:val="20"/>
          <w:shd w:val="clear" w:color="auto" w:fill="FFFFFF"/>
          <w:lang w:val="es-ES"/>
        </w:rPr>
        <w:t>Neurology</w:t>
      </w:r>
      <w:proofErr w:type="spellEnd"/>
      <w:r w:rsidRPr="006C7B3B">
        <w:rPr>
          <w:rFonts w:asciiTheme="minorHAnsi" w:hAnsiTheme="minorHAnsi" w:cstheme="minorHAnsi"/>
          <w:color w:val="212121"/>
          <w:sz w:val="20"/>
          <w:szCs w:val="20"/>
          <w:shd w:val="clear" w:color="auto" w:fill="FFFFFF"/>
          <w:lang w:val="es-ES"/>
        </w:rPr>
        <w:t xml:space="preserve">, Hospital Clínico Universitario, Universidad de Santiago de Compostela, Santiago de Compostela, </w:t>
      </w:r>
      <w:proofErr w:type="spellStart"/>
      <w:r w:rsidRPr="006C7B3B">
        <w:rPr>
          <w:rFonts w:asciiTheme="minorHAnsi" w:hAnsiTheme="minorHAnsi" w:cstheme="minorHAnsi"/>
          <w:color w:val="212121"/>
          <w:sz w:val="20"/>
          <w:szCs w:val="20"/>
          <w:shd w:val="clear" w:color="auto" w:fill="FFFFFF"/>
          <w:lang w:val="es-ES"/>
        </w:rPr>
        <w:t>Spain</w:t>
      </w:r>
      <w:proofErr w:type="spellEnd"/>
      <w:r w:rsidRPr="006C7B3B">
        <w:rPr>
          <w:rFonts w:asciiTheme="minorHAnsi" w:hAnsiTheme="minorHAnsi" w:cstheme="minorHAnsi"/>
          <w:color w:val="212121"/>
          <w:sz w:val="20"/>
          <w:szCs w:val="20"/>
          <w:shd w:val="clear" w:color="auto" w:fill="FFFFFF"/>
          <w:lang w:val="es-ES"/>
        </w:rPr>
        <w:t xml:space="preserve">.  </w:t>
      </w:r>
    </w:p>
    <w:p w14:paraId="78F5A0F7" w14:textId="022D2489" w:rsidR="007A43F7" w:rsidRPr="006C7B3B" w:rsidRDefault="007A43F7" w:rsidP="00BE1EA9">
      <w:pPr>
        <w:jc w:val="center"/>
        <w:rPr>
          <w:b/>
          <w:bCs/>
          <w:sz w:val="24"/>
          <w:szCs w:val="24"/>
          <w:lang w:val="es-ES"/>
        </w:rPr>
      </w:pPr>
    </w:p>
    <w:p w14:paraId="18DF588A" w14:textId="78484FCD" w:rsidR="007A43F7" w:rsidRDefault="007A43F7" w:rsidP="007A43F7">
      <w:pPr>
        <w:rPr>
          <w:b/>
          <w:bCs/>
          <w:sz w:val="24"/>
          <w:szCs w:val="24"/>
        </w:rPr>
      </w:pPr>
      <w:r>
        <w:rPr>
          <w:b/>
          <w:bCs/>
          <w:sz w:val="24"/>
          <w:szCs w:val="24"/>
        </w:rPr>
        <w:t>Presenter Name:</w:t>
      </w:r>
      <w:r w:rsidR="006C7B3B">
        <w:rPr>
          <w:b/>
          <w:bCs/>
          <w:sz w:val="24"/>
          <w:szCs w:val="24"/>
        </w:rPr>
        <w:t xml:space="preserve"> </w:t>
      </w:r>
      <w:r w:rsidR="006C7B3B" w:rsidRPr="006C7B3B">
        <w:rPr>
          <w:sz w:val="24"/>
          <w:szCs w:val="24"/>
        </w:rPr>
        <w:t>Tomás Sobrino</w:t>
      </w:r>
    </w:p>
    <w:p w14:paraId="48E7A3E6" w14:textId="7ABD8196" w:rsidR="006C7B3B" w:rsidRDefault="007A43F7" w:rsidP="006C7B3B">
      <w:pPr>
        <w:spacing w:line="240" w:lineRule="auto"/>
        <w:rPr>
          <w:b/>
          <w:bCs/>
          <w:sz w:val="24"/>
          <w:szCs w:val="24"/>
        </w:rPr>
      </w:pPr>
      <w:r>
        <w:rPr>
          <w:b/>
          <w:bCs/>
          <w:sz w:val="24"/>
          <w:szCs w:val="24"/>
        </w:rPr>
        <w:t xml:space="preserve">Abstract: </w:t>
      </w:r>
    </w:p>
    <w:p w14:paraId="0F350194" w14:textId="77777777" w:rsidR="006C7B3B" w:rsidRPr="00C00498" w:rsidRDefault="006C7B3B" w:rsidP="006C7B3B">
      <w:pPr>
        <w:spacing w:line="240" w:lineRule="auto"/>
        <w:jc w:val="both"/>
        <w:rPr>
          <w:lang w:val="en-US"/>
        </w:rPr>
      </w:pPr>
      <w:r w:rsidRPr="00C00498">
        <w:rPr>
          <w:b/>
          <w:bCs/>
          <w:lang w:val="en-US"/>
        </w:rPr>
        <w:t>Background</w:t>
      </w:r>
      <w:r w:rsidRPr="00C00498">
        <w:rPr>
          <w:lang w:val="en-US"/>
        </w:rPr>
        <w:t xml:space="preserve">: Migraine </w:t>
      </w:r>
      <w:r>
        <w:rPr>
          <w:lang w:val="en-US"/>
        </w:rPr>
        <w:t xml:space="preserve">is </w:t>
      </w:r>
      <w:r w:rsidRPr="00C00498">
        <w:rPr>
          <w:lang w:val="en-US"/>
        </w:rPr>
        <w:t xml:space="preserve">characterized by recurrent moderate to severe </w:t>
      </w:r>
      <w:r>
        <w:rPr>
          <w:lang w:val="en-US"/>
        </w:rPr>
        <w:t>headache attacks</w:t>
      </w:r>
      <w:r w:rsidRPr="00C00498">
        <w:rPr>
          <w:lang w:val="en-US"/>
        </w:rPr>
        <w:t xml:space="preserve">. It is the most common neurological disorder and the second most disabling human condition, whose pathogenesis is </w:t>
      </w:r>
      <w:r>
        <w:rPr>
          <w:lang w:val="en-US"/>
        </w:rPr>
        <w:t>favored</w:t>
      </w:r>
      <w:r w:rsidRPr="00C00498">
        <w:rPr>
          <w:lang w:val="en-US"/>
        </w:rPr>
        <w:t xml:space="preserve"> by a combination of genetic, epigenetic, and environmental factors. The pathophysiology of migraine includes both vascular and neural mechanisms</w:t>
      </w:r>
      <w:r>
        <w:rPr>
          <w:lang w:val="en-US"/>
        </w:rPr>
        <w:t>.</w:t>
      </w:r>
      <w:r w:rsidRPr="00C00498">
        <w:rPr>
          <w:lang w:val="en-US"/>
        </w:rPr>
        <w:t xml:space="preserve"> </w:t>
      </w:r>
      <w:r>
        <w:rPr>
          <w:lang w:val="en-US"/>
        </w:rPr>
        <w:t xml:space="preserve">As </w:t>
      </w:r>
      <w:proofErr w:type="spellStart"/>
      <w:r>
        <w:rPr>
          <w:lang w:val="en-US"/>
        </w:rPr>
        <w:t>Autotaxin</w:t>
      </w:r>
      <w:proofErr w:type="spellEnd"/>
      <w:r>
        <w:rPr>
          <w:lang w:val="en-US"/>
        </w:rPr>
        <w:t xml:space="preserve"> (ATX) may be a </w:t>
      </w:r>
      <w:r w:rsidRPr="00C00498">
        <w:rPr>
          <w:lang w:val="en-US"/>
        </w:rPr>
        <w:t>link</w:t>
      </w:r>
      <w:r>
        <w:rPr>
          <w:lang w:val="en-US"/>
        </w:rPr>
        <w:t xml:space="preserve"> between common mechanisms associated to migraine as</w:t>
      </w:r>
      <w:r w:rsidRPr="00C00498">
        <w:rPr>
          <w:lang w:val="en-US"/>
        </w:rPr>
        <w:t xml:space="preserve"> neuropeptide release, endothelial dysfunction, and </w:t>
      </w:r>
      <w:r>
        <w:rPr>
          <w:lang w:val="en-US"/>
        </w:rPr>
        <w:t>neuro</w:t>
      </w:r>
      <w:r w:rsidRPr="00C00498">
        <w:rPr>
          <w:lang w:val="en-US"/>
        </w:rPr>
        <w:t>inflammat</w:t>
      </w:r>
      <w:r>
        <w:rPr>
          <w:lang w:val="en-US"/>
        </w:rPr>
        <w:t>ion, we aimed to test its role as a novel biomarker of migraine</w:t>
      </w:r>
      <w:r w:rsidRPr="00C00498">
        <w:rPr>
          <w:lang w:val="en-US"/>
        </w:rPr>
        <w:t>.</w:t>
      </w:r>
    </w:p>
    <w:p w14:paraId="7F8A3A7E" w14:textId="77777777" w:rsidR="006C7B3B" w:rsidRPr="00F80677" w:rsidRDefault="006C7B3B" w:rsidP="006C7B3B">
      <w:pPr>
        <w:spacing w:before="120" w:after="120" w:line="240" w:lineRule="auto"/>
        <w:jc w:val="both"/>
        <w:rPr>
          <w:bCs/>
          <w:sz w:val="21"/>
          <w:szCs w:val="28"/>
          <w:lang w:val="en-US"/>
        </w:rPr>
      </w:pPr>
      <w:r w:rsidRPr="00C00498">
        <w:rPr>
          <w:b/>
          <w:bCs/>
          <w:lang w:val="en-US"/>
        </w:rPr>
        <w:t>Methods</w:t>
      </w:r>
      <w:r w:rsidRPr="00C00498">
        <w:rPr>
          <w:lang w:val="en-US"/>
        </w:rPr>
        <w:t>: In this cross-sectional study, healthy controls (n=</w:t>
      </w:r>
      <w:r>
        <w:rPr>
          <w:lang w:val="en-US"/>
        </w:rPr>
        <w:t>69</w:t>
      </w:r>
      <w:r w:rsidRPr="00C00498">
        <w:rPr>
          <w:lang w:val="en-US"/>
        </w:rPr>
        <w:t>), episodic migraine</w:t>
      </w:r>
      <w:r>
        <w:rPr>
          <w:lang w:val="en-US"/>
        </w:rPr>
        <w:t xml:space="preserve"> (EM)</w:t>
      </w:r>
      <w:r w:rsidRPr="00C00498">
        <w:rPr>
          <w:lang w:val="en-US"/>
        </w:rPr>
        <w:t xml:space="preserve"> patients (n=</w:t>
      </w:r>
      <w:r>
        <w:rPr>
          <w:lang w:val="en-US"/>
        </w:rPr>
        <w:t>44</w:t>
      </w:r>
      <w:r w:rsidRPr="00C00498">
        <w:rPr>
          <w:lang w:val="en-US"/>
        </w:rPr>
        <w:t>), and chronic migraine</w:t>
      </w:r>
      <w:r>
        <w:rPr>
          <w:lang w:val="en-US"/>
        </w:rPr>
        <w:t xml:space="preserve"> (CM)</w:t>
      </w:r>
      <w:r w:rsidRPr="00C00498">
        <w:rPr>
          <w:lang w:val="en-US"/>
        </w:rPr>
        <w:t xml:space="preserve"> patients (n=</w:t>
      </w:r>
      <w:r>
        <w:rPr>
          <w:lang w:val="en-US"/>
        </w:rPr>
        <w:t>37</w:t>
      </w:r>
      <w:r w:rsidRPr="00C00498">
        <w:rPr>
          <w:lang w:val="en-US"/>
        </w:rPr>
        <w:t xml:space="preserve">) were studied. </w:t>
      </w:r>
      <w:r>
        <w:rPr>
          <w:lang w:val="en-US"/>
        </w:rPr>
        <w:t>Clinical symptoms, as well as serum levels of biom</w:t>
      </w:r>
      <w:r w:rsidRPr="00C00498">
        <w:rPr>
          <w:lang w:val="en-US"/>
        </w:rPr>
        <w:t xml:space="preserve">arkers </w:t>
      </w:r>
      <w:r>
        <w:rPr>
          <w:lang w:val="en-US"/>
        </w:rPr>
        <w:t>for</w:t>
      </w:r>
      <w:r w:rsidRPr="00C00498">
        <w:rPr>
          <w:lang w:val="en-US"/>
        </w:rPr>
        <w:t xml:space="preserve"> inflammation (interleukin-6, [IL-6], and interleukin-10 [IL-10]), </w:t>
      </w:r>
      <w:proofErr w:type="spellStart"/>
      <w:r w:rsidRPr="00C00498">
        <w:rPr>
          <w:lang w:val="en-US"/>
        </w:rPr>
        <w:t>trigeminovascular</w:t>
      </w:r>
      <w:proofErr w:type="spellEnd"/>
      <w:r w:rsidRPr="00C00498">
        <w:rPr>
          <w:lang w:val="en-US"/>
        </w:rPr>
        <w:t xml:space="preserve"> system activation (calcitonin gene-related peptide, [CGRP]), endothelial dysfunction (pentraxin-3, [PTX-3]</w:t>
      </w:r>
      <w:r>
        <w:rPr>
          <w:lang w:val="en-US"/>
        </w:rPr>
        <w:t>, cellular fibrinogen [</w:t>
      </w:r>
      <w:proofErr w:type="spellStart"/>
      <w:r>
        <w:rPr>
          <w:lang w:val="en-US"/>
        </w:rPr>
        <w:t>cFn</w:t>
      </w:r>
      <w:proofErr w:type="spellEnd"/>
      <w:r>
        <w:rPr>
          <w:lang w:val="en-US"/>
        </w:rPr>
        <w:t xml:space="preserve">], and </w:t>
      </w:r>
      <w:r w:rsidRPr="00C00498">
        <w:rPr>
          <w:lang w:val="en-US"/>
        </w:rPr>
        <w:t xml:space="preserve">soluble </w:t>
      </w:r>
      <w:r>
        <w:rPr>
          <w:lang w:val="en-US"/>
        </w:rPr>
        <w:t>tumor</w:t>
      </w:r>
      <w:r w:rsidRPr="00C00498">
        <w:rPr>
          <w:lang w:val="en-US"/>
        </w:rPr>
        <w:t xml:space="preserve"> necrosis factor-like weak inducer of apoptosis </w:t>
      </w:r>
      <w:r>
        <w:rPr>
          <w:lang w:val="en-US"/>
        </w:rPr>
        <w:t>[</w:t>
      </w:r>
      <w:proofErr w:type="spellStart"/>
      <w:r>
        <w:rPr>
          <w:lang w:val="en-US"/>
        </w:rPr>
        <w:t>sTWEAK</w:t>
      </w:r>
      <w:proofErr w:type="spellEnd"/>
      <w:r>
        <w:rPr>
          <w:lang w:val="en-US"/>
        </w:rPr>
        <w:t>]</w:t>
      </w:r>
      <w:r w:rsidRPr="00C00498">
        <w:rPr>
          <w:lang w:val="en-US"/>
        </w:rPr>
        <w:t>)</w:t>
      </w:r>
      <w:r>
        <w:rPr>
          <w:lang w:val="en-US"/>
        </w:rPr>
        <w:t>,</w:t>
      </w:r>
      <w:r w:rsidRPr="00C00498">
        <w:rPr>
          <w:lang w:val="en-US"/>
        </w:rPr>
        <w:t xml:space="preserve"> as well as </w:t>
      </w:r>
      <w:proofErr w:type="spellStart"/>
      <w:r w:rsidRPr="00C00498">
        <w:rPr>
          <w:lang w:val="en-US"/>
        </w:rPr>
        <w:t>autotaxin</w:t>
      </w:r>
      <w:proofErr w:type="spellEnd"/>
      <w:r w:rsidRPr="00C00498">
        <w:rPr>
          <w:lang w:val="en-US"/>
        </w:rPr>
        <w:t xml:space="preserve"> (ATX) were investigated. </w:t>
      </w:r>
      <w:r w:rsidRPr="00F80677">
        <w:rPr>
          <w:lang w:val="en-US"/>
        </w:rPr>
        <w:t xml:space="preserve">Additionally, spectrometry assays were performed to determine the </w:t>
      </w:r>
      <w:r>
        <w:rPr>
          <w:lang w:val="en-US"/>
        </w:rPr>
        <w:t>sphingo</w:t>
      </w:r>
      <w:r w:rsidRPr="00F80677">
        <w:rPr>
          <w:lang w:val="en-US"/>
        </w:rPr>
        <w:t>lipidomic profile.</w:t>
      </w:r>
    </w:p>
    <w:p w14:paraId="74F2E8A9" w14:textId="77777777" w:rsidR="006C7B3B" w:rsidRPr="00F80677" w:rsidRDefault="006C7B3B" w:rsidP="006C7B3B">
      <w:pPr>
        <w:spacing w:line="240" w:lineRule="auto"/>
        <w:jc w:val="both"/>
        <w:rPr>
          <w:lang w:val="en-US"/>
        </w:rPr>
      </w:pPr>
      <w:r w:rsidRPr="00F80677">
        <w:rPr>
          <w:b/>
          <w:bCs/>
          <w:lang w:val="en-US"/>
        </w:rPr>
        <w:t>Results</w:t>
      </w:r>
      <w:r w:rsidRPr="00F80677">
        <w:rPr>
          <w:lang w:val="en-US"/>
        </w:rPr>
        <w:t xml:space="preserve">: </w:t>
      </w:r>
      <w:r>
        <w:rPr>
          <w:lang w:val="en-US"/>
        </w:rPr>
        <w:t xml:space="preserve">Serum </w:t>
      </w:r>
      <w:r w:rsidRPr="00F80677">
        <w:rPr>
          <w:lang w:val="en-US"/>
        </w:rPr>
        <w:t>ATX levels were found</w:t>
      </w:r>
      <w:r>
        <w:rPr>
          <w:lang w:val="en-US"/>
        </w:rPr>
        <w:t xml:space="preserve"> significantly (p&lt;0.0001)</w:t>
      </w:r>
      <w:r w:rsidRPr="00F80677">
        <w:rPr>
          <w:lang w:val="en-US"/>
        </w:rPr>
        <w:t xml:space="preserve"> elevated in both </w:t>
      </w:r>
      <w:r>
        <w:rPr>
          <w:bCs/>
          <w:lang w:val="en-US"/>
        </w:rPr>
        <w:t>EM</w:t>
      </w:r>
      <w:r w:rsidRPr="00C00498">
        <w:rPr>
          <w:bCs/>
          <w:lang w:val="en-US"/>
        </w:rPr>
        <w:t xml:space="preserve"> (310.7 </w:t>
      </w:r>
      <w:r w:rsidRPr="00C00498">
        <w:rPr>
          <w:bCs/>
          <w:lang w:val="en-US"/>
        </w:rPr>
        <w:sym w:font="Symbol" w:char="F0B1"/>
      </w:r>
      <w:r w:rsidRPr="00C00498">
        <w:rPr>
          <w:bCs/>
          <w:lang w:val="en-US"/>
        </w:rPr>
        <w:t xml:space="preserve"> 79.69 ng/mL) and </w:t>
      </w:r>
      <w:r>
        <w:rPr>
          <w:bCs/>
          <w:lang w:val="en-US"/>
        </w:rPr>
        <w:t>CM</w:t>
      </w:r>
      <w:r w:rsidRPr="00C00498">
        <w:rPr>
          <w:bCs/>
          <w:lang w:val="en-US"/>
        </w:rPr>
        <w:t xml:space="preserve"> (336.7 </w:t>
      </w:r>
      <w:r w:rsidRPr="00C00498">
        <w:rPr>
          <w:bCs/>
          <w:lang w:val="en-US"/>
        </w:rPr>
        <w:sym w:font="Symbol" w:char="F0B1"/>
      </w:r>
      <w:r w:rsidRPr="00C00498">
        <w:rPr>
          <w:bCs/>
          <w:lang w:val="en-US"/>
        </w:rPr>
        <w:t xml:space="preserve"> 66.93 ng/mL)</w:t>
      </w:r>
      <w:r>
        <w:rPr>
          <w:bCs/>
          <w:lang w:val="en-US"/>
        </w:rPr>
        <w:t xml:space="preserve"> compared to controls </w:t>
      </w:r>
      <w:r w:rsidRPr="00C00498">
        <w:rPr>
          <w:bCs/>
          <w:lang w:val="en-US"/>
        </w:rPr>
        <w:t xml:space="preserve">(212.3 </w:t>
      </w:r>
      <w:r w:rsidRPr="00C00498">
        <w:rPr>
          <w:bCs/>
          <w:lang w:val="en-US"/>
        </w:rPr>
        <w:sym w:font="Symbol" w:char="F0B1"/>
      </w:r>
      <w:r w:rsidRPr="00C00498">
        <w:rPr>
          <w:bCs/>
          <w:lang w:val="en-US"/>
        </w:rPr>
        <w:t xml:space="preserve"> 53.19 ng/mL)</w:t>
      </w:r>
      <w:r>
        <w:rPr>
          <w:bCs/>
          <w:lang w:val="en-US"/>
        </w:rPr>
        <w:t xml:space="preserve"> (p&lt;0.0001). </w:t>
      </w:r>
      <w:r>
        <w:rPr>
          <w:lang w:val="en-US"/>
        </w:rPr>
        <w:t>Elevated ATX</w:t>
      </w:r>
      <w:r w:rsidRPr="00F80677">
        <w:rPr>
          <w:lang w:val="en-US"/>
        </w:rPr>
        <w:t xml:space="preserve"> </w:t>
      </w:r>
      <w:r>
        <w:rPr>
          <w:lang w:val="en-US"/>
        </w:rPr>
        <w:t>was</w:t>
      </w:r>
      <w:r w:rsidRPr="00F80677">
        <w:rPr>
          <w:lang w:val="en-US"/>
        </w:rPr>
        <w:t xml:space="preserve"> </w:t>
      </w:r>
      <w:r>
        <w:rPr>
          <w:lang w:val="en-US"/>
        </w:rPr>
        <w:t>associated</w:t>
      </w:r>
      <w:r w:rsidRPr="00F80677">
        <w:rPr>
          <w:lang w:val="en-US"/>
        </w:rPr>
        <w:t xml:space="preserve"> </w:t>
      </w:r>
      <w:r>
        <w:rPr>
          <w:lang w:val="en-US"/>
        </w:rPr>
        <w:t>to</w:t>
      </w:r>
      <w:r w:rsidRPr="00F80677">
        <w:rPr>
          <w:lang w:val="en-US"/>
        </w:rPr>
        <w:t xml:space="preserve"> migraine pathological variables</w:t>
      </w:r>
      <w:r>
        <w:rPr>
          <w:lang w:val="en-US"/>
        </w:rPr>
        <w:t xml:space="preserve"> </w:t>
      </w:r>
      <w:r w:rsidRPr="00F80677">
        <w:rPr>
          <w:lang w:val="en-US"/>
        </w:rPr>
        <w:t xml:space="preserve">in </w:t>
      </w:r>
      <w:r>
        <w:rPr>
          <w:lang w:val="en-US"/>
        </w:rPr>
        <w:t>CM</w:t>
      </w:r>
      <w:r w:rsidRPr="00F80677">
        <w:rPr>
          <w:lang w:val="en-US"/>
        </w:rPr>
        <w:t xml:space="preserve"> but not </w:t>
      </w:r>
      <w:r>
        <w:rPr>
          <w:lang w:val="en-US"/>
        </w:rPr>
        <w:t>EM</w:t>
      </w:r>
      <w:r w:rsidRPr="00F80677">
        <w:rPr>
          <w:lang w:val="en-US"/>
        </w:rPr>
        <w:t xml:space="preserve">. High ATX </w:t>
      </w:r>
      <w:r>
        <w:rPr>
          <w:lang w:val="en-US"/>
        </w:rPr>
        <w:t xml:space="preserve">levels were </w:t>
      </w:r>
      <w:r w:rsidRPr="00F80677">
        <w:rPr>
          <w:lang w:val="en-US"/>
        </w:rPr>
        <w:t>correlate</w:t>
      </w:r>
      <w:r>
        <w:rPr>
          <w:lang w:val="en-US"/>
        </w:rPr>
        <w:t>d</w:t>
      </w:r>
      <w:r w:rsidRPr="00F80677">
        <w:rPr>
          <w:lang w:val="en-US"/>
        </w:rPr>
        <w:t xml:space="preserve"> with CGRP</w:t>
      </w:r>
      <w:r>
        <w:rPr>
          <w:lang w:val="en-US"/>
        </w:rPr>
        <w:t xml:space="preserve"> levels</w:t>
      </w:r>
      <w:r w:rsidRPr="002E77E2">
        <w:rPr>
          <w:lang w:val="en-US"/>
        </w:rPr>
        <w:t xml:space="preserve"> </w:t>
      </w:r>
      <w:r w:rsidRPr="00F80677">
        <w:rPr>
          <w:lang w:val="en-US"/>
        </w:rPr>
        <w:t xml:space="preserve">in migraine </w:t>
      </w:r>
      <w:r>
        <w:rPr>
          <w:lang w:val="en-US"/>
        </w:rPr>
        <w:t>patients</w:t>
      </w:r>
      <w:r w:rsidRPr="00F80677">
        <w:rPr>
          <w:lang w:val="en-US"/>
        </w:rPr>
        <w:t xml:space="preserve">, as well as </w:t>
      </w:r>
      <w:r>
        <w:rPr>
          <w:lang w:val="en-US"/>
        </w:rPr>
        <w:t xml:space="preserve">with </w:t>
      </w:r>
      <w:r w:rsidRPr="00F80677">
        <w:rPr>
          <w:lang w:val="en-US"/>
        </w:rPr>
        <w:t>endothelial dysfunction</w:t>
      </w:r>
      <w:r>
        <w:rPr>
          <w:lang w:val="en-US"/>
        </w:rPr>
        <w:t xml:space="preserve"> (</w:t>
      </w:r>
      <w:r w:rsidRPr="00F80677">
        <w:rPr>
          <w:lang w:val="en-US"/>
        </w:rPr>
        <w:t xml:space="preserve">PTX3, </w:t>
      </w:r>
      <w:proofErr w:type="spellStart"/>
      <w:r w:rsidRPr="00F80677">
        <w:rPr>
          <w:lang w:val="en-US"/>
        </w:rPr>
        <w:t>sTWEAK</w:t>
      </w:r>
      <w:proofErr w:type="spellEnd"/>
      <w:r w:rsidRPr="00F80677">
        <w:rPr>
          <w:lang w:val="en-US"/>
        </w:rPr>
        <w:t xml:space="preserve"> and </w:t>
      </w:r>
      <w:proofErr w:type="spellStart"/>
      <w:r>
        <w:rPr>
          <w:lang w:val="en-US"/>
        </w:rPr>
        <w:t>c</w:t>
      </w:r>
      <w:r w:rsidRPr="00F80677">
        <w:rPr>
          <w:lang w:val="en-US"/>
        </w:rPr>
        <w:t>Fn</w:t>
      </w:r>
      <w:proofErr w:type="spellEnd"/>
      <w:r>
        <w:rPr>
          <w:lang w:val="en-US"/>
        </w:rPr>
        <w:t>)</w:t>
      </w:r>
      <w:r w:rsidRPr="00F80677">
        <w:rPr>
          <w:lang w:val="en-US"/>
        </w:rPr>
        <w:t xml:space="preserve"> </w:t>
      </w:r>
      <w:r>
        <w:rPr>
          <w:lang w:val="en-US"/>
        </w:rPr>
        <w:t>and</w:t>
      </w:r>
      <w:r w:rsidRPr="00F80677">
        <w:rPr>
          <w:lang w:val="en-US"/>
        </w:rPr>
        <w:t xml:space="preserve"> IL-6</w:t>
      </w:r>
      <w:r>
        <w:rPr>
          <w:lang w:val="en-US"/>
        </w:rPr>
        <w:t xml:space="preserve"> (all p&lt;0.001). Importantly, h</w:t>
      </w:r>
      <w:r w:rsidRPr="00F80677">
        <w:rPr>
          <w:lang w:val="en-US"/>
        </w:rPr>
        <w:t xml:space="preserve">igh levels of ATX </w:t>
      </w:r>
      <w:r>
        <w:rPr>
          <w:lang w:val="en-US"/>
        </w:rPr>
        <w:t>were</w:t>
      </w:r>
      <w:r w:rsidRPr="00F80677">
        <w:rPr>
          <w:lang w:val="en-US"/>
        </w:rPr>
        <w:t xml:space="preserve"> </w:t>
      </w:r>
      <w:r>
        <w:rPr>
          <w:lang w:val="en-US"/>
        </w:rPr>
        <w:t>found</w:t>
      </w:r>
      <w:r w:rsidRPr="00F80677">
        <w:rPr>
          <w:lang w:val="en-US"/>
        </w:rPr>
        <w:t xml:space="preserve"> in </w:t>
      </w:r>
      <w:r>
        <w:rPr>
          <w:lang w:val="en-US"/>
        </w:rPr>
        <w:t xml:space="preserve">EM </w:t>
      </w:r>
      <w:r w:rsidRPr="00F80677">
        <w:rPr>
          <w:lang w:val="en-US"/>
        </w:rPr>
        <w:t xml:space="preserve">patients who do not respond to </w:t>
      </w:r>
      <w:proofErr w:type="spellStart"/>
      <w:r w:rsidRPr="00F80677">
        <w:rPr>
          <w:lang w:val="en-US"/>
        </w:rPr>
        <w:t>Onabotulinumtoxin</w:t>
      </w:r>
      <w:proofErr w:type="spellEnd"/>
      <w:r w:rsidRPr="00F80677">
        <w:rPr>
          <w:lang w:val="en-US"/>
        </w:rPr>
        <w:t xml:space="preserve"> Type A treatment, while patients with lower </w:t>
      </w:r>
      <w:r>
        <w:rPr>
          <w:lang w:val="en-US"/>
        </w:rPr>
        <w:t xml:space="preserve">ATX </w:t>
      </w:r>
      <w:r w:rsidRPr="00F80677">
        <w:rPr>
          <w:lang w:val="en-US"/>
        </w:rPr>
        <w:t xml:space="preserve">levels </w:t>
      </w:r>
      <w:r>
        <w:rPr>
          <w:lang w:val="en-US"/>
        </w:rPr>
        <w:t>showed an excellent respond</w:t>
      </w:r>
      <w:r w:rsidRPr="00F80677">
        <w:rPr>
          <w:lang w:val="en-US"/>
        </w:rPr>
        <w:t>.</w:t>
      </w:r>
      <w:r>
        <w:rPr>
          <w:lang w:val="en-US"/>
        </w:rPr>
        <w:t xml:space="preserve"> Regarding </w:t>
      </w:r>
      <w:proofErr w:type="spellStart"/>
      <w:r>
        <w:rPr>
          <w:lang w:val="en-US"/>
        </w:rPr>
        <w:t>sphingolipidomics</w:t>
      </w:r>
      <w:proofErr w:type="spellEnd"/>
      <w:r>
        <w:rPr>
          <w:lang w:val="en-US"/>
        </w:rPr>
        <w:t>, we found a</w:t>
      </w:r>
      <w:r w:rsidRPr="00F80677">
        <w:rPr>
          <w:lang w:val="en-US"/>
        </w:rPr>
        <w:t xml:space="preserve"> drastic decrease in </w:t>
      </w:r>
      <w:proofErr w:type="spellStart"/>
      <w:r>
        <w:rPr>
          <w:lang w:val="en-US"/>
        </w:rPr>
        <w:t>lysophosphatidylcholine</w:t>
      </w:r>
      <w:proofErr w:type="spellEnd"/>
      <w:r>
        <w:rPr>
          <w:lang w:val="en-US"/>
        </w:rPr>
        <w:t xml:space="preserve"> (</w:t>
      </w:r>
      <w:r w:rsidRPr="00F80677">
        <w:rPr>
          <w:lang w:val="en-US"/>
        </w:rPr>
        <w:t>LPC</w:t>
      </w:r>
      <w:r>
        <w:rPr>
          <w:lang w:val="en-US"/>
        </w:rPr>
        <w:t>)</w:t>
      </w:r>
      <w:r w:rsidRPr="00F80677">
        <w:rPr>
          <w:lang w:val="en-US"/>
        </w:rPr>
        <w:t xml:space="preserve"> levels </w:t>
      </w:r>
      <w:r>
        <w:rPr>
          <w:lang w:val="en-US"/>
        </w:rPr>
        <w:t>in migraine patients, which indicates</w:t>
      </w:r>
      <w:r w:rsidRPr="00F80677">
        <w:rPr>
          <w:lang w:val="en-US"/>
        </w:rPr>
        <w:t xml:space="preserve"> high ATX activity.</w:t>
      </w:r>
    </w:p>
    <w:p w14:paraId="25D48306" w14:textId="77777777" w:rsidR="006C7B3B" w:rsidRDefault="006C7B3B" w:rsidP="006C7B3B">
      <w:pPr>
        <w:spacing w:line="240" w:lineRule="auto"/>
        <w:jc w:val="both"/>
        <w:rPr>
          <w:lang w:val="en-US"/>
        </w:rPr>
      </w:pPr>
      <w:r>
        <w:rPr>
          <w:b/>
          <w:bCs/>
          <w:lang w:val="en-US"/>
        </w:rPr>
        <w:t>Conclusion</w:t>
      </w:r>
      <w:r w:rsidRPr="00F80677">
        <w:rPr>
          <w:lang w:val="en-US"/>
        </w:rPr>
        <w:t xml:space="preserve">: </w:t>
      </w:r>
      <w:r>
        <w:rPr>
          <w:lang w:val="en-US"/>
        </w:rPr>
        <w:t>Higher serum levels of</w:t>
      </w:r>
      <w:r w:rsidRPr="00F80677">
        <w:rPr>
          <w:lang w:val="en-US"/>
        </w:rPr>
        <w:t xml:space="preserve"> </w:t>
      </w:r>
      <w:r>
        <w:rPr>
          <w:lang w:val="en-US"/>
        </w:rPr>
        <w:t>ATX were found in both EM and CM</w:t>
      </w:r>
      <w:r w:rsidRPr="00F80677">
        <w:rPr>
          <w:lang w:val="en-US"/>
        </w:rPr>
        <w:t xml:space="preserve">. Furthermore, ATX levels </w:t>
      </w:r>
      <w:r>
        <w:rPr>
          <w:lang w:val="en-US"/>
        </w:rPr>
        <w:t xml:space="preserve">negatively </w:t>
      </w:r>
      <w:r w:rsidRPr="00F80677">
        <w:rPr>
          <w:lang w:val="en-US"/>
        </w:rPr>
        <w:t xml:space="preserve">correlate with the response to treatment with </w:t>
      </w:r>
      <w:proofErr w:type="spellStart"/>
      <w:r w:rsidRPr="00F80677">
        <w:rPr>
          <w:lang w:val="en-US"/>
        </w:rPr>
        <w:t>Onabotulinumtoxin</w:t>
      </w:r>
      <w:proofErr w:type="spellEnd"/>
      <w:r w:rsidRPr="00F80677">
        <w:rPr>
          <w:lang w:val="en-US"/>
        </w:rPr>
        <w:t xml:space="preserve"> Type A.</w:t>
      </w:r>
      <w:r>
        <w:rPr>
          <w:lang w:val="en-US"/>
        </w:rPr>
        <w:t xml:space="preserve"> Further studies are necessary to elucidate the potential role of ATX as therapeutic biomarker for migraine.</w:t>
      </w:r>
    </w:p>
    <w:p w14:paraId="4A3BD8F8" w14:textId="3C20083B" w:rsidR="007A43F7" w:rsidRPr="006C7B3B" w:rsidRDefault="007A43F7" w:rsidP="007A43F7">
      <w:pPr>
        <w:rPr>
          <w:b/>
          <w:bCs/>
          <w:sz w:val="24"/>
          <w:szCs w:val="24"/>
          <w:lang w:val="en-US"/>
        </w:rPr>
      </w:pP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754C7A20" w14:textId="092441E5" w:rsidR="007A43F7" w:rsidRPr="00F21A36" w:rsidRDefault="00F21A36" w:rsidP="00F21A36">
      <w:pPr>
        <w:jc w:val="both"/>
      </w:pPr>
      <w:r w:rsidRPr="00F21A36">
        <w:t xml:space="preserve">Graduated in Molecular Biology and Biotechnology at the University of Santiago de Compostela in 2003. In 2007, he defended his doctoral thesis, obtaining the degree of Doctor in Biochemistry and Molecular Biology with an Extraordinary Doctoral Award from the University of Santiago de Compostela. He is currently the Director of the </w:t>
      </w:r>
      <w:proofErr w:type="spellStart"/>
      <w:r w:rsidRPr="00F21A36">
        <w:t>Neuroaging</w:t>
      </w:r>
      <w:proofErr w:type="spellEnd"/>
      <w:r w:rsidRPr="00F21A36">
        <w:t xml:space="preserve"> Group of the Clinical Neuroscience Research Laboratory from the Institute of Health Research of Santiago de Compostela (IDIS). </w:t>
      </w:r>
      <w:proofErr w:type="spellStart"/>
      <w:r w:rsidRPr="00F21A36">
        <w:t>Dr.</w:t>
      </w:r>
      <w:proofErr w:type="spellEnd"/>
      <w:r w:rsidRPr="00F21A36">
        <w:t xml:space="preserve"> Sobrino is also associate professor in the area of </w:t>
      </w:r>
      <w:proofErr w:type="spellStart"/>
      <w:r w:rsidRPr="00F21A36">
        <w:t>Nuerosciences</w:t>
      </w:r>
      <w:proofErr w:type="spellEnd"/>
      <w:r w:rsidRPr="00F21A36">
        <w:t xml:space="preserve"> at the University of Santiago de Compostela.</w:t>
      </w:r>
      <w:r w:rsidR="007A43F7" w:rsidRPr="00F21A36">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0FCCBA9E" w:rsidR="004A171E" w:rsidRDefault="007A43F7" w:rsidP="007A43F7">
      <w:pPr>
        <w:rPr>
          <w:b/>
          <w:bCs/>
          <w:sz w:val="24"/>
          <w:szCs w:val="24"/>
        </w:rPr>
      </w:pPr>
      <w:r w:rsidRPr="007A43F7">
        <w:rPr>
          <w:b/>
          <w:bCs/>
          <w:sz w:val="24"/>
          <w:szCs w:val="24"/>
        </w:rPr>
        <w:t xml:space="preserve">Name: </w:t>
      </w:r>
      <w:r w:rsidR="006C7B3B" w:rsidRPr="006C7B3B">
        <w:rPr>
          <w:sz w:val="24"/>
          <w:szCs w:val="24"/>
        </w:rPr>
        <w:t>Tomás Sobrino</w:t>
      </w:r>
      <w:r>
        <w:rPr>
          <w:b/>
          <w:bCs/>
          <w:sz w:val="24"/>
          <w:szCs w:val="24"/>
        </w:rPr>
        <w:br/>
      </w:r>
      <w:r w:rsidRPr="007A43F7">
        <w:rPr>
          <w:b/>
          <w:bCs/>
          <w:sz w:val="24"/>
          <w:szCs w:val="24"/>
        </w:rPr>
        <w:t xml:space="preserve">Affiliation: </w:t>
      </w:r>
      <w:r w:rsidR="006C7B3B" w:rsidRPr="006C7B3B">
        <w:rPr>
          <w:sz w:val="24"/>
          <w:szCs w:val="24"/>
        </w:rPr>
        <w:t>Health Research Institute of Santiago de Compostela (IDIS)</w:t>
      </w:r>
      <w:r>
        <w:rPr>
          <w:b/>
          <w:bCs/>
          <w:sz w:val="24"/>
          <w:szCs w:val="24"/>
        </w:rPr>
        <w:br/>
      </w:r>
      <w:r w:rsidRPr="007A43F7">
        <w:rPr>
          <w:b/>
          <w:bCs/>
          <w:sz w:val="24"/>
          <w:szCs w:val="24"/>
        </w:rPr>
        <w:t>Country:</w:t>
      </w:r>
      <w:r w:rsidR="006C7B3B">
        <w:rPr>
          <w:b/>
          <w:bCs/>
          <w:sz w:val="24"/>
          <w:szCs w:val="24"/>
        </w:rPr>
        <w:t xml:space="preserve"> </w:t>
      </w:r>
      <w:r w:rsidR="006C7B3B" w:rsidRPr="006C7B3B">
        <w:rPr>
          <w:sz w:val="24"/>
          <w:szCs w:val="24"/>
        </w:rPr>
        <w:t>Spain</w:t>
      </w:r>
    </w:p>
    <w:p w14:paraId="5DD727D1" w14:textId="7CDA6DC2" w:rsidR="007A43F7" w:rsidRDefault="004A171E" w:rsidP="004A171E">
      <w:pPr>
        <w:pStyle w:val="Prrafodelista"/>
        <w:numPr>
          <w:ilvl w:val="0"/>
          <w:numId w:val="1"/>
        </w:numPr>
        <w:rPr>
          <w:b/>
          <w:bCs/>
          <w:sz w:val="24"/>
          <w:szCs w:val="24"/>
        </w:rPr>
      </w:pPr>
      <w:r w:rsidRPr="004A171E">
        <w:rPr>
          <w:b/>
          <w:bCs/>
          <w:sz w:val="24"/>
          <w:szCs w:val="24"/>
        </w:rPr>
        <w:t>Please to attach a recent high-resolution photograph of the presenting author.</w:t>
      </w:r>
    </w:p>
    <w:p w14:paraId="642F588F" w14:textId="77777777" w:rsidR="00F667E5" w:rsidRDefault="00F667E5" w:rsidP="00F667E5">
      <w:pPr>
        <w:rPr>
          <w:b/>
          <w:bCs/>
          <w:sz w:val="24"/>
          <w:szCs w:val="24"/>
        </w:rPr>
      </w:pPr>
    </w:p>
    <w:p w14:paraId="19145450" w14:textId="7C2AC430" w:rsidR="00F667E5" w:rsidRPr="00F667E5" w:rsidRDefault="00F667E5" w:rsidP="00F667E5">
      <w:pPr>
        <w:jc w:val="center"/>
        <w:rPr>
          <w:b/>
          <w:bCs/>
          <w:sz w:val="24"/>
          <w:szCs w:val="24"/>
        </w:rPr>
      </w:pPr>
      <w:r>
        <w:rPr>
          <w:b/>
          <w:bCs/>
          <w:noProof/>
          <w:sz w:val="24"/>
          <w:szCs w:val="24"/>
        </w:rPr>
        <w:drawing>
          <wp:inline distT="0" distB="0" distL="0" distR="0" wp14:anchorId="0FB5718F" wp14:editId="3B3EFBD3">
            <wp:extent cx="2221017" cy="2696949"/>
            <wp:effectExtent l="0" t="0" r="8255" b="8255"/>
            <wp:docPr id="584690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90277" name="Imagen 584690277"/>
                    <pic:cNvPicPr/>
                  </pic:nvPicPr>
                  <pic:blipFill>
                    <a:blip r:embed="rId7">
                      <a:extLst>
                        <a:ext uri="{28A0092B-C50C-407E-A947-70E740481C1C}">
                          <a14:useLocalDpi xmlns:a14="http://schemas.microsoft.com/office/drawing/2010/main" val="0"/>
                        </a:ext>
                      </a:extLst>
                    </a:blip>
                    <a:stretch>
                      <a:fillRect/>
                    </a:stretch>
                  </pic:blipFill>
                  <pic:spPr>
                    <a:xfrm>
                      <a:off x="0" y="0"/>
                      <a:ext cx="2221017" cy="2696949"/>
                    </a:xfrm>
                    <a:prstGeom prst="rect">
                      <a:avLst/>
                    </a:prstGeom>
                  </pic:spPr>
                </pic:pic>
              </a:graphicData>
            </a:graphic>
          </wp:inline>
        </w:drawing>
      </w:r>
    </w:p>
    <w:sectPr w:rsidR="00F667E5" w:rsidRPr="00F667E5" w:rsidSect="00D94A47">
      <w:pgSz w:w="11906" w:h="16838"/>
      <w:pgMar w:top="57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BBED" w14:textId="77777777" w:rsidR="00D94A47" w:rsidRDefault="00D94A47" w:rsidP="00BE1EA9">
      <w:pPr>
        <w:spacing w:after="0" w:line="240" w:lineRule="auto"/>
      </w:pPr>
      <w:r>
        <w:separator/>
      </w:r>
    </w:p>
  </w:endnote>
  <w:endnote w:type="continuationSeparator" w:id="0">
    <w:p w14:paraId="5AE7797E" w14:textId="77777777" w:rsidR="00D94A47" w:rsidRDefault="00D94A47"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CD1E6" w14:textId="77777777" w:rsidR="00D94A47" w:rsidRDefault="00D94A47" w:rsidP="00BE1EA9">
      <w:pPr>
        <w:spacing w:after="0" w:line="240" w:lineRule="auto"/>
      </w:pPr>
      <w:r>
        <w:separator/>
      </w:r>
    </w:p>
  </w:footnote>
  <w:footnote w:type="continuationSeparator" w:id="0">
    <w:p w14:paraId="552BF8C1" w14:textId="77777777" w:rsidR="00D94A47" w:rsidRDefault="00D94A47" w:rsidP="00BE1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3166F"/>
    <w:multiLevelType w:val="multilevel"/>
    <w:tmpl w:val="61FEAEB2"/>
    <w:lvl w:ilvl="0">
      <w:start w:val="1"/>
      <w:numFmt w:val="decimal"/>
      <w:lvlText w:val="%1"/>
      <w:lvlJc w:val="left"/>
      <w:pPr>
        <w:ind w:left="2968" w:hanging="360"/>
      </w:pPr>
      <w:rPr>
        <w:rFonts w:hint="default"/>
      </w:rPr>
    </w:lvl>
    <w:lvl w:ilvl="1">
      <w:start w:val="1"/>
      <w:numFmt w:val="decimal"/>
      <w:isLgl/>
      <w:lvlText w:val="%1.%2"/>
      <w:lvlJc w:val="left"/>
      <w:pPr>
        <w:ind w:left="3048" w:hanging="440"/>
      </w:pPr>
      <w:rPr>
        <w:rFonts w:eastAsia="SimSun" w:cs="Times New Roman" w:hint="default"/>
        <w:color w:val="000000"/>
      </w:rPr>
    </w:lvl>
    <w:lvl w:ilvl="2">
      <w:start w:val="2"/>
      <w:numFmt w:val="decimal"/>
      <w:isLgl/>
      <w:lvlText w:val="%1.%2.%3"/>
      <w:lvlJc w:val="left"/>
      <w:pPr>
        <w:ind w:left="3328" w:hanging="720"/>
      </w:pPr>
      <w:rPr>
        <w:rFonts w:eastAsia="SimSun" w:cs="Times New Roman" w:hint="default"/>
        <w:color w:val="000000"/>
      </w:rPr>
    </w:lvl>
    <w:lvl w:ilvl="3">
      <w:start w:val="1"/>
      <w:numFmt w:val="decimal"/>
      <w:isLgl/>
      <w:lvlText w:val="%1.%2.%3.%4"/>
      <w:lvlJc w:val="left"/>
      <w:pPr>
        <w:ind w:left="3328" w:hanging="720"/>
      </w:pPr>
      <w:rPr>
        <w:rFonts w:eastAsia="SimSun" w:cs="Times New Roman" w:hint="default"/>
        <w:color w:val="000000"/>
      </w:rPr>
    </w:lvl>
    <w:lvl w:ilvl="4">
      <w:start w:val="1"/>
      <w:numFmt w:val="decimal"/>
      <w:isLgl/>
      <w:lvlText w:val="%1.%2.%3.%4.%5"/>
      <w:lvlJc w:val="left"/>
      <w:pPr>
        <w:ind w:left="3328" w:hanging="720"/>
      </w:pPr>
      <w:rPr>
        <w:rFonts w:eastAsia="SimSun" w:cs="Times New Roman" w:hint="default"/>
        <w:color w:val="000000"/>
      </w:rPr>
    </w:lvl>
    <w:lvl w:ilvl="5">
      <w:start w:val="1"/>
      <w:numFmt w:val="decimal"/>
      <w:isLgl/>
      <w:lvlText w:val="%1.%2.%3.%4.%5.%6"/>
      <w:lvlJc w:val="left"/>
      <w:pPr>
        <w:ind w:left="3688" w:hanging="1080"/>
      </w:pPr>
      <w:rPr>
        <w:rFonts w:eastAsia="SimSun" w:cs="Times New Roman" w:hint="default"/>
        <w:color w:val="000000"/>
      </w:rPr>
    </w:lvl>
    <w:lvl w:ilvl="6">
      <w:start w:val="1"/>
      <w:numFmt w:val="decimal"/>
      <w:isLgl/>
      <w:lvlText w:val="%1.%2.%3.%4.%5.%6.%7"/>
      <w:lvlJc w:val="left"/>
      <w:pPr>
        <w:ind w:left="3688" w:hanging="1080"/>
      </w:pPr>
      <w:rPr>
        <w:rFonts w:eastAsia="SimSun" w:cs="Times New Roman" w:hint="default"/>
        <w:color w:val="000000"/>
      </w:rPr>
    </w:lvl>
    <w:lvl w:ilvl="7">
      <w:start w:val="1"/>
      <w:numFmt w:val="decimal"/>
      <w:isLgl/>
      <w:lvlText w:val="%1.%2.%3.%4.%5.%6.%7.%8"/>
      <w:lvlJc w:val="left"/>
      <w:pPr>
        <w:ind w:left="4048" w:hanging="1440"/>
      </w:pPr>
      <w:rPr>
        <w:rFonts w:eastAsia="SimSun" w:cs="Times New Roman" w:hint="default"/>
        <w:color w:val="000000"/>
      </w:rPr>
    </w:lvl>
    <w:lvl w:ilvl="8">
      <w:start w:val="1"/>
      <w:numFmt w:val="decimal"/>
      <w:isLgl/>
      <w:lvlText w:val="%1.%2.%3.%4.%5.%6.%7.%8.%9"/>
      <w:lvlJc w:val="left"/>
      <w:pPr>
        <w:ind w:left="4048" w:hanging="1440"/>
      </w:pPr>
      <w:rPr>
        <w:rFonts w:eastAsia="SimSun" w:cs="Times New Roman" w:hint="default"/>
        <w:color w:val="000000"/>
      </w:rPr>
    </w:lvl>
  </w:abstractNum>
  <w:abstractNum w:abstractNumId="1"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1"/>
  </w:num>
  <w:num w:numId="2" w16cid:durableId="160904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0238FE"/>
    <w:rsid w:val="00296F9B"/>
    <w:rsid w:val="003C4FF4"/>
    <w:rsid w:val="003F348B"/>
    <w:rsid w:val="004A171E"/>
    <w:rsid w:val="004E5CBB"/>
    <w:rsid w:val="005C0DE8"/>
    <w:rsid w:val="006C7B3B"/>
    <w:rsid w:val="007A43F7"/>
    <w:rsid w:val="00BE1EA9"/>
    <w:rsid w:val="00D94A47"/>
    <w:rsid w:val="00F21A36"/>
    <w:rsid w:val="00F6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EA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E1EA9"/>
  </w:style>
  <w:style w:type="paragraph" w:styleId="Piedepgina">
    <w:name w:val="footer"/>
    <w:basedOn w:val="Normal"/>
    <w:link w:val="PiedepginaCar"/>
    <w:uiPriority w:val="99"/>
    <w:unhideWhenUsed/>
    <w:rsid w:val="00BE1EA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E1EA9"/>
  </w:style>
  <w:style w:type="paragraph" w:styleId="Prrafodelista">
    <w:name w:val="List Paragraph"/>
    <w:basedOn w:val="Normal"/>
    <w:uiPriority w:val="34"/>
    <w:qFormat/>
    <w:rsid w:val="004A171E"/>
    <w:pPr>
      <w:ind w:left="720"/>
      <w:contextualSpacing/>
    </w:pPr>
  </w:style>
  <w:style w:type="paragraph" w:customStyle="1" w:styleId="MDPI13authornames">
    <w:name w:val="MDPI_1.3_authornames"/>
    <w:next w:val="Normal"/>
    <w:qFormat/>
    <w:rsid w:val="006C7B3B"/>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6C7B3B"/>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Hipervnculo">
    <w:name w:val="Hyperlink"/>
    <w:uiPriority w:val="99"/>
    <w:rsid w:val="006C7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748</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Tomas Sobrino Moreiras</cp:lastModifiedBy>
  <cp:revision>8</cp:revision>
  <dcterms:created xsi:type="dcterms:W3CDTF">2022-07-14T07:03:00Z</dcterms:created>
  <dcterms:modified xsi:type="dcterms:W3CDTF">2024-04-25T15:48:00Z</dcterms:modified>
</cp:coreProperties>
</file>