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420B1" w14:textId="72813A70" w:rsidR="00EB3B21" w:rsidRPr="003E5B6D" w:rsidRDefault="00EB3B21" w:rsidP="006557B2">
      <w:pPr>
        <w:pStyle w:val="Default"/>
        <w:jc w:val="both"/>
        <w:rPr>
          <w:b/>
          <w:sz w:val="20"/>
          <w:szCs w:val="20"/>
        </w:rPr>
      </w:pPr>
      <w:r w:rsidRPr="003E5B6D">
        <w:rPr>
          <w:b/>
          <w:sz w:val="20"/>
          <w:szCs w:val="20"/>
        </w:rPr>
        <w:t xml:space="preserve">Effect of Sex on Outcomes of Mechanical Thrombectomy in Internal Carotid Artery Occlusion: A Multicentre Cohort Study </w:t>
      </w:r>
    </w:p>
    <w:p w14:paraId="2C950210" w14:textId="77777777" w:rsidR="00EB3B21" w:rsidRPr="003E5B6D" w:rsidRDefault="00EB3B21" w:rsidP="006557B2">
      <w:pPr>
        <w:pStyle w:val="Default"/>
        <w:jc w:val="both"/>
        <w:rPr>
          <w:sz w:val="20"/>
          <w:szCs w:val="20"/>
        </w:rPr>
      </w:pPr>
    </w:p>
    <w:p w14:paraId="3B1EA54A" w14:textId="77777777" w:rsidR="0041233F" w:rsidRPr="003E5B6D" w:rsidRDefault="0041233F" w:rsidP="0041233F">
      <w:pPr>
        <w:pStyle w:val="Default"/>
        <w:jc w:val="both"/>
        <w:rPr>
          <w:sz w:val="20"/>
          <w:szCs w:val="20"/>
        </w:rPr>
      </w:pPr>
      <w:r w:rsidRPr="003E5B6D">
        <w:rPr>
          <w:sz w:val="20"/>
          <w:szCs w:val="20"/>
        </w:rPr>
        <w:t xml:space="preserve">Isabel Siow1, Benjamin YQ Tan2, Keng Siang Lee3, Natalie Ong1, Emma Toh1, Anil Gopinathan, 1,4, </w:t>
      </w:r>
      <w:proofErr w:type="spellStart"/>
      <w:r w:rsidRPr="003E5B6D">
        <w:rPr>
          <w:sz w:val="20"/>
          <w:szCs w:val="20"/>
        </w:rPr>
        <w:t>Cunli</w:t>
      </w:r>
      <w:proofErr w:type="spellEnd"/>
      <w:r w:rsidRPr="003E5B6D">
        <w:rPr>
          <w:sz w:val="20"/>
          <w:szCs w:val="20"/>
        </w:rPr>
        <w:t xml:space="preserve"> Yang1,4, </w:t>
      </w:r>
      <w:proofErr w:type="spellStart"/>
      <w:r w:rsidRPr="003E5B6D">
        <w:rPr>
          <w:sz w:val="20"/>
          <w:szCs w:val="20"/>
        </w:rPr>
        <w:t>Pervinder</w:t>
      </w:r>
      <w:proofErr w:type="spellEnd"/>
      <w:r w:rsidRPr="003E5B6D">
        <w:rPr>
          <w:sz w:val="20"/>
          <w:szCs w:val="20"/>
        </w:rPr>
        <w:t xml:space="preserve"> Bhogal5, Erika Lam6, Oliver Spooner6, Lukas Meyer7, Jens Fiehler7, Panagiotis Papanagiotou8,9, Andreas Kastrup10, Maria Alexandrou8, Seraphine Zubel11, </w:t>
      </w:r>
      <w:proofErr w:type="spellStart"/>
      <w:r w:rsidRPr="003E5B6D">
        <w:rPr>
          <w:sz w:val="20"/>
          <w:szCs w:val="20"/>
        </w:rPr>
        <w:t>Qingyu</w:t>
      </w:r>
      <w:proofErr w:type="spellEnd"/>
      <w:r w:rsidRPr="003E5B6D">
        <w:rPr>
          <w:sz w:val="20"/>
          <w:szCs w:val="20"/>
        </w:rPr>
        <w:t xml:space="preserve"> Wu11, Anastasios Mpotsaris11, Volker Maus12, Tommy Anderson13,14, Vamsi Gontu13, Fabian Arnberg14, </w:t>
      </w:r>
      <w:proofErr w:type="spellStart"/>
      <w:r w:rsidRPr="003E5B6D">
        <w:rPr>
          <w:sz w:val="20"/>
          <w:szCs w:val="20"/>
        </w:rPr>
        <w:t>Tsong</w:t>
      </w:r>
      <w:proofErr w:type="spellEnd"/>
      <w:r w:rsidRPr="003E5B6D">
        <w:rPr>
          <w:sz w:val="20"/>
          <w:szCs w:val="20"/>
        </w:rPr>
        <w:t xml:space="preserve"> Hai Lee15, Bernard PL Chan2, Raymond CS Seet2, Hock Luen Teoh2, Vijay K Sharma1,2, Leonard LL Yeo1,2</w:t>
      </w:r>
    </w:p>
    <w:p w14:paraId="21B7D7E9" w14:textId="77777777" w:rsidR="0041233F" w:rsidRPr="003E5B6D" w:rsidRDefault="0041233F" w:rsidP="0041233F">
      <w:pPr>
        <w:pStyle w:val="Default"/>
        <w:jc w:val="both"/>
        <w:rPr>
          <w:sz w:val="20"/>
          <w:szCs w:val="20"/>
        </w:rPr>
      </w:pPr>
    </w:p>
    <w:p w14:paraId="24E2B8D3" w14:textId="77777777" w:rsidR="0041233F" w:rsidRPr="003E5B6D" w:rsidRDefault="0041233F" w:rsidP="0041233F">
      <w:pPr>
        <w:pStyle w:val="Default"/>
        <w:jc w:val="both"/>
        <w:rPr>
          <w:sz w:val="20"/>
          <w:szCs w:val="20"/>
        </w:rPr>
      </w:pPr>
      <w:r w:rsidRPr="003E5B6D">
        <w:rPr>
          <w:sz w:val="20"/>
          <w:szCs w:val="20"/>
        </w:rPr>
        <w:t>1Ministry of Health Holdings, Singapore</w:t>
      </w:r>
    </w:p>
    <w:p w14:paraId="28D92C74" w14:textId="77777777" w:rsidR="0041233F" w:rsidRPr="003E5B6D" w:rsidRDefault="0041233F" w:rsidP="0041233F">
      <w:pPr>
        <w:pStyle w:val="Default"/>
        <w:jc w:val="both"/>
        <w:rPr>
          <w:sz w:val="20"/>
          <w:szCs w:val="20"/>
        </w:rPr>
      </w:pPr>
      <w:r w:rsidRPr="003E5B6D">
        <w:rPr>
          <w:sz w:val="20"/>
          <w:szCs w:val="20"/>
        </w:rPr>
        <w:t>2Division of Neurology, Department of Medicine, National University Health System, Singapore</w:t>
      </w:r>
    </w:p>
    <w:p w14:paraId="2E8B21A7" w14:textId="77777777" w:rsidR="0041233F" w:rsidRPr="003E5B6D" w:rsidRDefault="0041233F" w:rsidP="0041233F">
      <w:pPr>
        <w:pStyle w:val="Default"/>
        <w:jc w:val="both"/>
        <w:rPr>
          <w:sz w:val="20"/>
          <w:szCs w:val="20"/>
        </w:rPr>
      </w:pPr>
      <w:r w:rsidRPr="003E5B6D">
        <w:rPr>
          <w:sz w:val="20"/>
          <w:szCs w:val="20"/>
        </w:rPr>
        <w:t>3 Department of Neurosurgery, King’s College Hospital, London, UK</w:t>
      </w:r>
    </w:p>
    <w:p w14:paraId="2A96D065" w14:textId="77777777" w:rsidR="0041233F" w:rsidRPr="003E5B6D" w:rsidRDefault="0041233F" w:rsidP="0041233F">
      <w:pPr>
        <w:pStyle w:val="Default"/>
        <w:jc w:val="both"/>
        <w:rPr>
          <w:sz w:val="20"/>
          <w:szCs w:val="20"/>
        </w:rPr>
      </w:pPr>
      <w:r w:rsidRPr="003E5B6D">
        <w:rPr>
          <w:sz w:val="20"/>
          <w:szCs w:val="20"/>
        </w:rPr>
        <w:t>4Division of Interventional Radiology, Department of Diagnostic Imaging, National University Health System, Singapore</w:t>
      </w:r>
    </w:p>
    <w:p w14:paraId="76C58C87" w14:textId="77777777" w:rsidR="0041233F" w:rsidRPr="003E5B6D" w:rsidRDefault="0041233F" w:rsidP="0041233F">
      <w:pPr>
        <w:pStyle w:val="Default"/>
        <w:jc w:val="both"/>
        <w:rPr>
          <w:sz w:val="20"/>
          <w:szCs w:val="20"/>
        </w:rPr>
      </w:pPr>
      <w:r w:rsidRPr="003E5B6D">
        <w:rPr>
          <w:sz w:val="20"/>
          <w:szCs w:val="20"/>
        </w:rPr>
        <w:t>5Department of Interventional Neuroradiology, The Royal London Hospital, Barts NHS Trust, London, United Kingdom</w:t>
      </w:r>
    </w:p>
    <w:p w14:paraId="13AD0F15" w14:textId="77777777" w:rsidR="0041233F" w:rsidRPr="003E5B6D" w:rsidRDefault="0041233F" w:rsidP="0041233F">
      <w:pPr>
        <w:pStyle w:val="Default"/>
        <w:jc w:val="both"/>
        <w:rPr>
          <w:sz w:val="20"/>
          <w:szCs w:val="20"/>
        </w:rPr>
      </w:pPr>
      <w:r w:rsidRPr="003E5B6D">
        <w:rPr>
          <w:sz w:val="20"/>
          <w:szCs w:val="20"/>
        </w:rPr>
        <w:t>6Stroke Department, The Royal London Hospital, Barts NHS Trust, London, United Kingdom</w:t>
      </w:r>
    </w:p>
    <w:p w14:paraId="71284BCD" w14:textId="77777777" w:rsidR="0041233F" w:rsidRPr="003E5B6D" w:rsidRDefault="0041233F" w:rsidP="0041233F">
      <w:pPr>
        <w:pStyle w:val="Default"/>
        <w:jc w:val="both"/>
        <w:rPr>
          <w:sz w:val="20"/>
          <w:szCs w:val="20"/>
        </w:rPr>
      </w:pPr>
      <w:r w:rsidRPr="003E5B6D">
        <w:rPr>
          <w:sz w:val="20"/>
          <w:szCs w:val="20"/>
        </w:rPr>
        <w:t xml:space="preserve">7Department of Diagnostic and Interventional Neuroradiology, University Medical </w:t>
      </w:r>
      <w:proofErr w:type="spellStart"/>
      <w:r w:rsidRPr="003E5B6D">
        <w:rPr>
          <w:sz w:val="20"/>
          <w:szCs w:val="20"/>
        </w:rPr>
        <w:t>Center</w:t>
      </w:r>
      <w:proofErr w:type="spellEnd"/>
      <w:r w:rsidRPr="003E5B6D">
        <w:rPr>
          <w:sz w:val="20"/>
          <w:szCs w:val="20"/>
        </w:rPr>
        <w:t xml:space="preserve"> Hamburg-Eppendorf, Hamburg, Germany</w:t>
      </w:r>
    </w:p>
    <w:p w14:paraId="31F0FA00" w14:textId="77777777" w:rsidR="0041233F" w:rsidRPr="003E5B6D" w:rsidRDefault="0041233F" w:rsidP="0041233F">
      <w:pPr>
        <w:pStyle w:val="Default"/>
        <w:jc w:val="both"/>
        <w:rPr>
          <w:sz w:val="20"/>
          <w:szCs w:val="20"/>
        </w:rPr>
      </w:pPr>
      <w:r w:rsidRPr="003E5B6D">
        <w:rPr>
          <w:sz w:val="20"/>
          <w:szCs w:val="20"/>
        </w:rPr>
        <w:t>8Department of Diagnostic and Interventional Neuroradiology, Hospital Bremen-Mitte, Bremen, Germany</w:t>
      </w:r>
    </w:p>
    <w:p w14:paraId="04B395AA" w14:textId="77777777" w:rsidR="0041233F" w:rsidRPr="003E5B6D" w:rsidRDefault="0041233F" w:rsidP="0041233F">
      <w:pPr>
        <w:pStyle w:val="Default"/>
        <w:jc w:val="both"/>
        <w:rPr>
          <w:sz w:val="20"/>
          <w:szCs w:val="20"/>
        </w:rPr>
      </w:pPr>
      <w:r w:rsidRPr="003E5B6D">
        <w:rPr>
          <w:sz w:val="20"/>
          <w:szCs w:val="20"/>
        </w:rPr>
        <w:t xml:space="preserve">9First Department of Radiology, School of Medicine, National &amp; </w:t>
      </w:r>
      <w:proofErr w:type="spellStart"/>
      <w:r w:rsidRPr="003E5B6D">
        <w:rPr>
          <w:sz w:val="20"/>
          <w:szCs w:val="20"/>
        </w:rPr>
        <w:t>Kapodistrian</w:t>
      </w:r>
      <w:proofErr w:type="spellEnd"/>
      <w:r w:rsidRPr="003E5B6D">
        <w:rPr>
          <w:sz w:val="20"/>
          <w:szCs w:val="20"/>
        </w:rPr>
        <w:t xml:space="preserve"> University of Athens, Athens, Greece</w:t>
      </w:r>
    </w:p>
    <w:p w14:paraId="78814F0E" w14:textId="77777777" w:rsidR="0041233F" w:rsidRPr="003E5B6D" w:rsidRDefault="0041233F" w:rsidP="0041233F">
      <w:pPr>
        <w:pStyle w:val="Default"/>
        <w:jc w:val="both"/>
        <w:rPr>
          <w:sz w:val="20"/>
          <w:szCs w:val="20"/>
        </w:rPr>
      </w:pPr>
      <w:r w:rsidRPr="003E5B6D">
        <w:rPr>
          <w:sz w:val="20"/>
          <w:szCs w:val="20"/>
        </w:rPr>
        <w:t>10Department of Neurology, Hospital Bremen-Mitte, Bremen, Germany</w:t>
      </w:r>
    </w:p>
    <w:p w14:paraId="13C2C40D" w14:textId="77777777" w:rsidR="0041233F" w:rsidRPr="003E5B6D" w:rsidRDefault="0041233F" w:rsidP="0041233F">
      <w:pPr>
        <w:pStyle w:val="Default"/>
        <w:jc w:val="both"/>
        <w:rPr>
          <w:sz w:val="20"/>
          <w:szCs w:val="20"/>
        </w:rPr>
      </w:pPr>
      <w:r w:rsidRPr="003E5B6D">
        <w:rPr>
          <w:sz w:val="20"/>
          <w:szCs w:val="20"/>
        </w:rPr>
        <w:t>11Department of Neuroradiology, University Hospital Magdeburg, Germany</w:t>
      </w:r>
    </w:p>
    <w:p w14:paraId="31E7D2DB" w14:textId="77777777" w:rsidR="0041233F" w:rsidRPr="003E5B6D" w:rsidRDefault="0041233F" w:rsidP="0041233F">
      <w:pPr>
        <w:pStyle w:val="Default"/>
        <w:jc w:val="both"/>
        <w:rPr>
          <w:sz w:val="20"/>
          <w:szCs w:val="20"/>
        </w:rPr>
      </w:pPr>
      <w:r w:rsidRPr="003E5B6D">
        <w:rPr>
          <w:sz w:val="20"/>
          <w:szCs w:val="20"/>
        </w:rPr>
        <w:t xml:space="preserve">12Institute of Diagnostic and Interventional Radiology, Neuroradiology and Nuclear Medicine, University Hospital </w:t>
      </w:r>
      <w:proofErr w:type="spellStart"/>
      <w:r w:rsidRPr="003E5B6D">
        <w:rPr>
          <w:sz w:val="20"/>
          <w:szCs w:val="20"/>
        </w:rPr>
        <w:t>Knappschaftskrankenhaus</w:t>
      </w:r>
      <w:proofErr w:type="spellEnd"/>
      <w:r w:rsidRPr="003E5B6D">
        <w:rPr>
          <w:sz w:val="20"/>
          <w:szCs w:val="20"/>
        </w:rPr>
        <w:t xml:space="preserve"> Bochum, Bochum, Germany</w:t>
      </w:r>
    </w:p>
    <w:p w14:paraId="2590F4E0" w14:textId="77777777" w:rsidR="0041233F" w:rsidRPr="003E5B6D" w:rsidRDefault="0041233F" w:rsidP="0041233F">
      <w:pPr>
        <w:pStyle w:val="Default"/>
        <w:jc w:val="both"/>
        <w:rPr>
          <w:sz w:val="20"/>
          <w:szCs w:val="20"/>
        </w:rPr>
      </w:pPr>
      <w:r w:rsidRPr="003E5B6D">
        <w:rPr>
          <w:sz w:val="20"/>
          <w:szCs w:val="20"/>
        </w:rPr>
        <w:t xml:space="preserve">13Department of Neuroradiology, Karolinska University Hospital, Stockholm, Sweden and Department of Clinical Neuroscience, Karolinska </w:t>
      </w:r>
      <w:proofErr w:type="spellStart"/>
      <w:r w:rsidRPr="003E5B6D">
        <w:rPr>
          <w:sz w:val="20"/>
          <w:szCs w:val="20"/>
        </w:rPr>
        <w:t>Institutet</w:t>
      </w:r>
      <w:proofErr w:type="spellEnd"/>
      <w:r w:rsidRPr="003E5B6D">
        <w:rPr>
          <w:sz w:val="20"/>
          <w:szCs w:val="20"/>
        </w:rPr>
        <w:t>, Stockholm, Sweden</w:t>
      </w:r>
    </w:p>
    <w:p w14:paraId="450EFCA2" w14:textId="77777777" w:rsidR="0041233F" w:rsidRPr="003E5B6D" w:rsidRDefault="0041233F" w:rsidP="0041233F">
      <w:pPr>
        <w:pStyle w:val="Default"/>
        <w:jc w:val="both"/>
        <w:rPr>
          <w:sz w:val="20"/>
          <w:szCs w:val="20"/>
        </w:rPr>
      </w:pPr>
      <w:r w:rsidRPr="003E5B6D">
        <w:rPr>
          <w:sz w:val="20"/>
          <w:szCs w:val="20"/>
        </w:rPr>
        <w:t xml:space="preserve">14Department of Medical Imaging, AZ </w:t>
      </w:r>
      <w:proofErr w:type="spellStart"/>
      <w:r w:rsidRPr="003E5B6D">
        <w:rPr>
          <w:sz w:val="20"/>
          <w:szCs w:val="20"/>
        </w:rPr>
        <w:t>Groeninge</w:t>
      </w:r>
      <w:proofErr w:type="spellEnd"/>
      <w:r w:rsidRPr="003E5B6D">
        <w:rPr>
          <w:sz w:val="20"/>
          <w:szCs w:val="20"/>
        </w:rPr>
        <w:t>, Kortrijk, Belgium</w:t>
      </w:r>
    </w:p>
    <w:p w14:paraId="6AFEA2B9" w14:textId="77777777" w:rsidR="0041233F" w:rsidRPr="003E5B6D" w:rsidRDefault="0041233F" w:rsidP="0041233F">
      <w:pPr>
        <w:pStyle w:val="Default"/>
        <w:jc w:val="both"/>
        <w:rPr>
          <w:sz w:val="20"/>
          <w:szCs w:val="20"/>
        </w:rPr>
      </w:pPr>
      <w:r w:rsidRPr="003E5B6D">
        <w:rPr>
          <w:sz w:val="20"/>
          <w:szCs w:val="20"/>
        </w:rPr>
        <w:t xml:space="preserve">15Department of Neurology, </w:t>
      </w:r>
      <w:proofErr w:type="spellStart"/>
      <w:r w:rsidRPr="003E5B6D">
        <w:rPr>
          <w:sz w:val="20"/>
          <w:szCs w:val="20"/>
        </w:rPr>
        <w:t>Linkou</w:t>
      </w:r>
      <w:proofErr w:type="spellEnd"/>
      <w:r w:rsidRPr="003E5B6D">
        <w:rPr>
          <w:sz w:val="20"/>
          <w:szCs w:val="20"/>
        </w:rPr>
        <w:t xml:space="preserve"> Chang Gung Memorial Hospital, Taoyuan, Taiwan</w:t>
      </w:r>
    </w:p>
    <w:p w14:paraId="21224786" w14:textId="77777777" w:rsidR="0041233F" w:rsidRPr="003E5B6D" w:rsidRDefault="0041233F" w:rsidP="006557B2">
      <w:pPr>
        <w:pStyle w:val="Default"/>
        <w:jc w:val="both"/>
        <w:rPr>
          <w:sz w:val="20"/>
          <w:szCs w:val="20"/>
        </w:rPr>
      </w:pPr>
    </w:p>
    <w:p w14:paraId="79B6E83C" w14:textId="77777777" w:rsidR="00EB3B21" w:rsidRPr="003E5B6D" w:rsidRDefault="00EB3B21" w:rsidP="006557B2">
      <w:pPr>
        <w:pStyle w:val="Default"/>
        <w:jc w:val="both"/>
        <w:rPr>
          <w:sz w:val="20"/>
          <w:szCs w:val="20"/>
        </w:rPr>
      </w:pPr>
      <w:r w:rsidRPr="003E5B6D">
        <w:rPr>
          <w:sz w:val="20"/>
          <w:szCs w:val="20"/>
        </w:rPr>
        <w:t xml:space="preserve">Abstract </w:t>
      </w:r>
    </w:p>
    <w:p w14:paraId="78F84000" w14:textId="333E1ABE" w:rsidR="00EB3B21" w:rsidRPr="003E5B6D" w:rsidRDefault="00EB3B21" w:rsidP="006557B2">
      <w:pPr>
        <w:pStyle w:val="Default"/>
        <w:jc w:val="both"/>
        <w:rPr>
          <w:sz w:val="20"/>
          <w:szCs w:val="20"/>
        </w:rPr>
      </w:pPr>
      <w:r w:rsidRPr="003E5B6D">
        <w:rPr>
          <w:sz w:val="20"/>
          <w:szCs w:val="20"/>
        </w:rPr>
        <w:t>Introduction: Recent studies have demonstrated widespread underrepresentation of women in acute stroke clinical trials.</w:t>
      </w:r>
      <w:r w:rsidR="009E5CD8" w:rsidRPr="003E5B6D">
        <w:rPr>
          <w:sz w:val="20"/>
          <w:szCs w:val="20"/>
        </w:rPr>
        <w:t xml:space="preserve"> Identifying differences in outcome of internal carotid artery (ICA) strokes between males and females may be useful in aiding clinical management. </w:t>
      </w:r>
      <w:r w:rsidRPr="003E5B6D">
        <w:rPr>
          <w:sz w:val="20"/>
          <w:szCs w:val="20"/>
        </w:rPr>
        <w:t xml:space="preserve"> This international multicentre study aimed to determine sex differences in outcome</w:t>
      </w:r>
      <w:r w:rsidR="009E5CD8" w:rsidRPr="003E5B6D">
        <w:rPr>
          <w:sz w:val="20"/>
          <w:szCs w:val="20"/>
        </w:rPr>
        <w:t>s</w:t>
      </w:r>
      <w:r w:rsidRPr="003E5B6D">
        <w:rPr>
          <w:sz w:val="20"/>
          <w:szCs w:val="20"/>
        </w:rPr>
        <w:t xml:space="preserve"> after mechanical thrombectomy (MT) for patients with acute ICA stroke. </w:t>
      </w:r>
    </w:p>
    <w:p w14:paraId="327CE49F" w14:textId="77777777" w:rsidR="00EB3B21" w:rsidRPr="003E5B6D" w:rsidRDefault="00EB3B21" w:rsidP="006557B2">
      <w:pPr>
        <w:pStyle w:val="Default"/>
        <w:jc w:val="both"/>
        <w:rPr>
          <w:sz w:val="20"/>
          <w:szCs w:val="20"/>
        </w:rPr>
      </w:pPr>
    </w:p>
    <w:p w14:paraId="66BC4A17" w14:textId="50D72EEF" w:rsidR="00EB3B21" w:rsidRPr="003E5B6D" w:rsidRDefault="00EB3B21" w:rsidP="006557B2">
      <w:pPr>
        <w:pStyle w:val="Default"/>
        <w:jc w:val="both"/>
        <w:rPr>
          <w:sz w:val="20"/>
          <w:szCs w:val="20"/>
        </w:rPr>
      </w:pPr>
      <w:r w:rsidRPr="003E5B6D">
        <w:rPr>
          <w:sz w:val="20"/>
          <w:szCs w:val="20"/>
        </w:rPr>
        <w:t>Methods: We performed a retrospective analysis of consecutive patients with ICA stroke who had undergone MT in seven stroke centres across three countries (Germany, United Kingdom and Sweden), between 2015 and 2020. Primary outcome was a favourable functional outcome measured by a modified Ranking Scale (mRS) of 0–3 at 90 days. Secondary outcomes were mRS 0–3 upon discharge, mortality, symptomatic intracranial haemorrhage (sICH)</w:t>
      </w:r>
      <w:r w:rsidR="00C8227A" w:rsidRPr="003E5B6D">
        <w:rPr>
          <w:sz w:val="20"/>
          <w:szCs w:val="20"/>
        </w:rPr>
        <w:t>.</w:t>
      </w:r>
    </w:p>
    <w:p w14:paraId="60734B91" w14:textId="77777777" w:rsidR="00EB3B21" w:rsidRPr="003E5B6D" w:rsidRDefault="00EB3B21" w:rsidP="006557B2">
      <w:pPr>
        <w:pStyle w:val="Default"/>
        <w:jc w:val="both"/>
        <w:rPr>
          <w:sz w:val="20"/>
          <w:szCs w:val="20"/>
        </w:rPr>
      </w:pPr>
      <w:r w:rsidRPr="003E5B6D">
        <w:rPr>
          <w:sz w:val="20"/>
          <w:szCs w:val="20"/>
        </w:rPr>
        <w:t xml:space="preserve">Results: Among the 239 patients who underwent MT, 109 (45.6%) patients were male and 130 (54.4%) were female. Females were older than males (mean ± SD 72.7 ± 15.2 years vs. 67.0 ± 13.5 years; p &lt; 0.001) and had higher rates of cardioembolic aetiology of stroke (53.1% vs 35.5% p= 0.028). More males were smokers than females (21.6% vs 10.3%; p-0.021). Despite these differences, females had better primary and secondary outcome measures compared to males, with higher rates of favourable 90-day mRS scores (OR=2.78; 95% CI 1.33 – 5.81; p-0.007) and favourable discharge mRS scores (OR=2.49; 95% CI 1.25 – 4.98; p=0.010). Rates of complications such as sICH and SAH were comparably low in both groups. </w:t>
      </w:r>
    </w:p>
    <w:p w14:paraId="5E9438EF" w14:textId="77777777" w:rsidR="00C8227A" w:rsidRPr="003E5B6D" w:rsidRDefault="00C8227A" w:rsidP="006557B2">
      <w:pPr>
        <w:pStyle w:val="Default"/>
        <w:jc w:val="both"/>
        <w:rPr>
          <w:sz w:val="20"/>
          <w:szCs w:val="20"/>
        </w:rPr>
      </w:pPr>
    </w:p>
    <w:p w14:paraId="3556BC7E" w14:textId="4226D324" w:rsidR="00EB3B21" w:rsidRPr="003E5B6D" w:rsidRDefault="00EB3B21" w:rsidP="006557B2">
      <w:pPr>
        <w:jc w:val="both"/>
        <w:rPr>
          <w:sz w:val="20"/>
          <w:szCs w:val="20"/>
        </w:rPr>
      </w:pPr>
      <w:r w:rsidRPr="003E5B6D">
        <w:rPr>
          <w:sz w:val="20"/>
          <w:szCs w:val="20"/>
        </w:rPr>
        <w:t>Conclusion: Females achieved comparable functional outcomes compared with males after undergoing MT for ICA acute ischemic stroke.</w:t>
      </w:r>
    </w:p>
    <w:sectPr w:rsidR="00EB3B21" w:rsidRPr="003E5B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1D"/>
    <w:rsid w:val="002023E9"/>
    <w:rsid w:val="003E5B6D"/>
    <w:rsid w:val="0041233F"/>
    <w:rsid w:val="004B338A"/>
    <w:rsid w:val="006557B2"/>
    <w:rsid w:val="009E5CD8"/>
    <w:rsid w:val="00A51590"/>
    <w:rsid w:val="00C8227A"/>
    <w:rsid w:val="00E33B1D"/>
    <w:rsid w:val="00EB3B2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D558"/>
  <w15:chartTrackingRefBased/>
  <w15:docId w15:val="{8558AD13-969C-492F-8178-4AB761E8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B1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33B1D"/>
    <w:rPr>
      <w:sz w:val="16"/>
      <w:szCs w:val="16"/>
    </w:rPr>
  </w:style>
  <w:style w:type="paragraph" w:styleId="CommentText">
    <w:name w:val="annotation text"/>
    <w:basedOn w:val="Normal"/>
    <w:link w:val="CommentTextChar"/>
    <w:uiPriority w:val="99"/>
    <w:semiHidden/>
    <w:unhideWhenUsed/>
    <w:rsid w:val="00E33B1D"/>
    <w:pPr>
      <w:spacing w:line="240" w:lineRule="auto"/>
    </w:pPr>
    <w:rPr>
      <w:sz w:val="20"/>
      <w:szCs w:val="20"/>
    </w:rPr>
  </w:style>
  <w:style w:type="character" w:customStyle="1" w:styleId="CommentTextChar">
    <w:name w:val="Comment Text Char"/>
    <w:basedOn w:val="DefaultParagraphFont"/>
    <w:link w:val="CommentText"/>
    <w:uiPriority w:val="99"/>
    <w:semiHidden/>
    <w:rsid w:val="00E33B1D"/>
    <w:rPr>
      <w:sz w:val="20"/>
      <w:szCs w:val="20"/>
    </w:rPr>
  </w:style>
  <w:style w:type="paragraph" w:styleId="CommentSubject">
    <w:name w:val="annotation subject"/>
    <w:basedOn w:val="CommentText"/>
    <w:next w:val="CommentText"/>
    <w:link w:val="CommentSubjectChar"/>
    <w:uiPriority w:val="99"/>
    <w:semiHidden/>
    <w:unhideWhenUsed/>
    <w:rsid w:val="00E33B1D"/>
    <w:rPr>
      <w:b/>
      <w:bCs/>
    </w:rPr>
  </w:style>
  <w:style w:type="character" w:customStyle="1" w:styleId="CommentSubjectChar">
    <w:name w:val="Comment Subject Char"/>
    <w:basedOn w:val="CommentTextChar"/>
    <w:link w:val="CommentSubject"/>
    <w:uiPriority w:val="99"/>
    <w:semiHidden/>
    <w:rsid w:val="00E33B1D"/>
    <w:rPr>
      <w:b/>
      <w:bCs/>
      <w:sz w:val="20"/>
      <w:szCs w:val="20"/>
    </w:rPr>
  </w:style>
  <w:style w:type="paragraph" w:styleId="BalloonText">
    <w:name w:val="Balloon Text"/>
    <w:basedOn w:val="Normal"/>
    <w:link w:val="BalloonTextChar"/>
    <w:uiPriority w:val="99"/>
    <w:semiHidden/>
    <w:unhideWhenUsed/>
    <w:rsid w:val="00E33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1D"/>
    <w:rPr>
      <w:rFonts w:ascii="Segoe UI" w:hAnsi="Segoe UI" w:cs="Segoe UI"/>
      <w:sz w:val="18"/>
      <w:szCs w:val="18"/>
    </w:rPr>
  </w:style>
  <w:style w:type="paragraph" w:styleId="Revision">
    <w:name w:val="Revision"/>
    <w:hidden/>
    <w:uiPriority w:val="99"/>
    <w:semiHidden/>
    <w:rsid w:val="004B33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 Leong Litt, Leonard</dc:creator>
  <cp:keywords/>
  <dc:description/>
  <cp:lastModifiedBy>isabel siow</cp:lastModifiedBy>
  <cp:revision>5</cp:revision>
  <dcterms:created xsi:type="dcterms:W3CDTF">2024-03-14T11:24:00Z</dcterms:created>
  <dcterms:modified xsi:type="dcterms:W3CDTF">2024-03-14T11:45:00Z</dcterms:modified>
</cp:coreProperties>
</file>