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jc w:val="center"/>
        <w:rPr>
          <w:rFonts w:ascii="Times New Roman" w:cs="Times New Roman" w:eastAsia="Times New Roman" w:hAnsi="Times New Roman"/>
          <w:b w:val="1"/>
          <w:color w:val="000000"/>
          <w:sz w:val="35"/>
          <w:szCs w:val="35"/>
          <w:highlight w:val="white"/>
        </w:rPr>
      </w:pPr>
      <w:bookmarkStart w:colFirst="0" w:colLast="0" w:name="_97u4f1f6bspq" w:id="0"/>
      <w:bookmarkEnd w:id="0"/>
      <w:r w:rsidDel="00000000" w:rsidR="00000000" w:rsidRPr="00000000">
        <w:rPr>
          <w:rFonts w:ascii="Times New Roman" w:cs="Times New Roman" w:eastAsia="Times New Roman" w:hAnsi="Times New Roman"/>
          <w:b w:val="1"/>
          <w:color w:val="131314"/>
          <w:sz w:val="39"/>
          <w:szCs w:val="39"/>
          <w:highlight w:val="white"/>
          <w:rtl w:val="0"/>
        </w:rPr>
        <w:t xml:space="preserve">Real-time inverse planning versus manual planning for Gamma Knife radiosurgery: A systematic review and meta-analysis</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Mariam Abdelhady¹, Ahmed Aljabali²</w:t>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¹ Faculty of Medicine, October 6 University, Giza, Egypt.</w:t>
      </w:r>
    </w:p>
    <w:p w:rsidR="00000000" w:rsidDel="00000000" w:rsidP="00000000" w:rsidRDefault="00000000" w:rsidRPr="00000000" w14:paraId="000000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² Faculty of Medicine, Jordan University of Science and Technology, Irbid, Jordan. </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pStyle w:val="Heading3"/>
        <w:rPr>
          <w:rFonts w:ascii="Times New Roman" w:cs="Times New Roman" w:eastAsia="Times New Roman" w:hAnsi="Times New Roman"/>
          <w:b w:val="1"/>
          <w:color w:val="000000"/>
          <w:sz w:val="30"/>
          <w:szCs w:val="30"/>
          <w:u w:val="single"/>
        </w:rPr>
      </w:pPr>
      <w:bookmarkStart w:colFirst="0" w:colLast="0" w:name="_sfyo6e50hizy" w:id="1"/>
      <w:bookmarkEnd w:id="1"/>
      <w:r w:rsidDel="00000000" w:rsidR="00000000" w:rsidRPr="00000000">
        <w:rPr>
          <w:rFonts w:ascii="Times New Roman" w:cs="Times New Roman" w:eastAsia="Times New Roman" w:hAnsi="Times New Roman"/>
          <w:b w:val="1"/>
          <w:color w:val="000000"/>
          <w:sz w:val="30"/>
          <w:szCs w:val="30"/>
          <w:u w:val="single"/>
          <w:rtl w:val="0"/>
        </w:rPr>
        <w:t xml:space="preserve">Presenter Name</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6"/>
          <w:szCs w:val="26"/>
          <w:rtl w:val="0"/>
        </w:rPr>
        <w:t xml:space="preserve">Mariam Ahmed Abdelhady</w:t>
      </w:r>
      <w:r w:rsidDel="00000000" w:rsidR="00000000" w:rsidRPr="00000000">
        <w:rPr>
          <w:rtl w:val="0"/>
        </w:rPr>
      </w:r>
    </w:p>
    <w:p w:rsidR="00000000" w:rsidDel="00000000" w:rsidP="00000000" w:rsidRDefault="00000000" w:rsidRPr="00000000" w14:paraId="0000000A">
      <w:pPr>
        <w:pStyle w:val="Heading3"/>
        <w:rPr>
          <w:rFonts w:ascii="Times New Roman" w:cs="Times New Roman" w:eastAsia="Times New Roman" w:hAnsi="Times New Roman"/>
          <w:b w:val="1"/>
          <w:color w:val="000000"/>
          <w:sz w:val="30"/>
          <w:szCs w:val="30"/>
          <w:u w:val="single"/>
        </w:rPr>
      </w:pPr>
      <w:bookmarkStart w:colFirst="0" w:colLast="0" w:name="_qquzyipbg0e1" w:id="2"/>
      <w:bookmarkEnd w:id="2"/>
      <w:r w:rsidDel="00000000" w:rsidR="00000000" w:rsidRPr="00000000">
        <w:rPr>
          <w:rFonts w:ascii="Times New Roman" w:cs="Times New Roman" w:eastAsia="Times New Roman" w:hAnsi="Times New Roman"/>
          <w:b w:val="1"/>
          <w:color w:val="000000"/>
          <w:sz w:val="30"/>
          <w:szCs w:val="30"/>
          <w:u w:val="single"/>
          <w:rtl w:val="0"/>
        </w:rPr>
        <w:t xml:space="preserve">Abstract</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Intracranial radiosurgery using a gamma knife enables stereotactic treatment of tumors and other disorders with the least destruction to surrounding tissues. For years, neurosurgeon's expertise determined forward planning and therefore clinical outcomes. However recently, an improved user-independent inverse planning based on artificial intelligence algorithms was introduced.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OBJECTIVES</w:t>
      </w:r>
      <w:r w:rsidDel="00000000" w:rsidR="00000000" w:rsidRPr="00000000">
        <w:rPr>
          <w:rFonts w:ascii="Times New Roman" w:cs="Times New Roman" w:eastAsia="Times New Roman" w:hAnsi="Times New Roman"/>
          <w:sz w:val="24"/>
          <w:szCs w:val="24"/>
          <w:rtl w:val="0"/>
        </w:rPr>
        <w:t xml:space="preserve">: The purpose of this study is to compare the efficacy and non-inferiority of inverse planning compared to manual forward planning.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systematically searched Five electronic databases; PubMed, OVID, Cochrane Library, Scopus, and Web of science for eligible comparative studies. Various tumors including vestibular schwannomas, potiotary adenomas, brain mestasies and others were included. All studies till June 2022 were included. Paddick's Conformity Index, Coverage index, Selectivity index, were the prinary outcomes. Dosage of less than 12 at the organ sites was the secondary outcome.</w:t>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included 6 studies with 115 patients. There wasn't ant significant difference in</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Paddick Conformity Index was (MD = -0.02, 95% CI [-0.11, 0.07], P = 0.65), or</w:t>
      </w:r>
    </w:p>
    <w:p w:rsidR="00000000" w:rsidDel="00000000" w:rsidP="00000000" w:rsidRDefault="00000000" w:rsidRPr="00000000" w14:paraId="000000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Coverage Index (MD= 0.00, 95% CI [-0.01, 0.01], P = 0.83) or. Selectivity Index (MD = 0.00, 95% CI [-0.02, 0.02], P = 0.70). There was no significant difference in dosage rates. (MD= 0.00 95% CI [-0.01, 0.01], P = 1.0). </w:t>
      </w:r>
    </w:p>
    <w:p w:rsidR="00000000" w:rsidDel="00000000" w:rsidP="00000000" w:rsidRDefault="00000000" w:rsidRPr="00000000" w14:paraId="00000016">
      <w:pPr>
        <w:rPr>
          <w:rFonts w:ascii="Times New Roman" w:cs="Times New Roman" w:eastAsia="Times New Roman" w:hAnsi="Times New Roman"/>
          <w:color w:val="ffffff"/>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 Results showed that this new IP method, provided high-quality dose plans in real time with excellent coverage and selectivity non inferior to forward planning. This could allow new planners/radiosurgeons with limited or no experience to immediately provide patients with high-quality gamma knife radiosurgery for benign and malignant lesions.</w:t>
      </w:r>
      <w:r w:rsidDel="00000000" w:rsidR="00000000" w:rsidRPr="00000000">
        <w:rPr>
          <w:rtl w:val="0"/>
        </w:rPr>
      </w:r>
    </w:p>
    <w:p w:rsidR="00000000" w:rsidDel="00000000" w:rsidP="00000000" w:rsidRDefault="00000000" w:rsidRPr="00000000" w14:paraId="00000019">
      <w:pPr>
        <w:pStyle w:val="Heading3"/>
        <w:rPr>
          <w:rFonts w:ascii="Times New Roman" w:cs="Times New Roman" w:eastAsia="Times New Roman" w:hAnsi="Times New Roman"/>
        </w:rPr>
      </w:pPr>
      <w:bookmarkStart w:colFirst="0" w:colLast="0" w:name="_5k1dyjfhhdaq" w:id="3"/>
      <w:bookmarkEnd w:id="3"/>
      <w:r w:rsidDel="00000000" w:rsidR="00000000" w:rsidRPr="00000000">
        <w:rPr>
          <w:rFonts w:ascii="Times New Roman" w:cs="Times New Roman" w:eastAsia="Times New Roman" w:hAnsi="Times New Roman"/>
          <w:b w:val="1"/>
          <w:color w:val="000000"/>
          <w:sz w:val="30"/>
          <w:szCs w:val="30"/>
          <w:u w:val="single"/>
          <w:rtl w:val="0"/>
        </w:rPr>
        <w:t xml:space="preserve">Presenter biography</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w:t>
      </w:r>
      <w:r w:rsidDel="00000000" w:rsidR="00000000" w:rsidRPr="00000000">
        <w:rPr>
          <w:rFonts w:ascii="Times New Roman" w:cs="Times New Roman" w:eastAsia="Times New Roman" w:hAnsi="Times New Roman"/>
          <w:sz w:val="26"/>
          <w:szCs w:val="26"/>
          <w:rtl w:val="0"/>
        </w:rPr>
        <w:t xml:space="preserve">. Mariam Ahmed Abdelhady, MBBS candidate, stands at the intersection of medical research and artificial intelligence, contributing significantly to the neurology landscape. With a notable background, she has authored four impactful publications, including a systematic review on encephalitis post-COVID-19 vaccination, a meta-analysis on the efficacy of Fingolimod in cerebrovascular stroke, and a meta-analysis exploring the maternal trace element status and neural tube defects risk. Her recent work involves a comprehensive systematic review and meta-analysis on drainage versus no drainage post-burr-hole evacuation of chronic subdural hematoma. Dr. Abdelhady's research prowess, coupled with her AI data training, promises to enrich the discourse at the World Neurology Congress and advancing the field of neurology.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Times New Roman" w:cs="Times New Roman" w:eastAsia="Times New Roman" w:hAnsi="Times New Roman"/>
          <w:b w:val="1"/>
          <w:color w:val="000000"/>
          <w:sz w:val="30"/>
          <w:szCs w:val="30"/>
          <w:u w:val="single"/>
        </w:rPr>
      </w:pPr>
      <w:bookmarkStart w:colFirst="0" w:colLast="0" w:name="_qjvgr9anjf61" w:id="4"/>
      <w:bookmarkEnd w:id="4"/>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Times New Roman" w:cs="Times New Roman" w:eastAsia="Times New Roman" w:hAnsi="Times New Roman"/>
          <w:b w:val="1"/>
          <w:color w:val="000000"/>
          <w:sz w:val="30"/>
          <w:szCs w:val="30"/>
          <w:u w:val="single"/>
        </w:rPr>
      </w:pPr>
      <w:bookmarkStart w:colFirst="0" w:colLast="0" w:name="_e62si22bdrb8" w:id="5"/>
      <w:bookmarkEnd w:id="5"/>
      <w:r w:rsidDel="00000000" w:rsidR="00000000" w:rsidRPr="00000000">
        <w:rPr>
          <w:rFonts w:ascii="Times New Roman" w:cs="Times New Roman" w:eastAsia="Times New Roman" w:hAnsi="Times New Roman"/>
          <w:b w:val="1"/>
          <w:color w:val="000000"/>
          <w:sz w:val="30"/>
          <w:szCs w:val="30"/>
          <w:u w:val="single"/>
          <w:rtl w:val="0"/>
        </w:rPr>
        <w:t xml:space="preserve">Details of presenting author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6"/>
          <w:szCs w:val="26"/>
          <w:rtl w:val="0"/>
        </w:rPr>
        <w:t xml:space="preserve">Mariam Ahmed Abdelhady</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Faculty of Medicine, October 6 University, Giza, Egypt</w:t>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Egypt</w:t>
      </w:r>
    </w:p>
    <w:p w:rsidR="00000000" w:rsidDel="00000000" w:rsidP="00000000" w:rsidRDefault="00000000" w:rsidRPr="00000000" w14:paraId="0000002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4076879" cy="476206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76879" cy="4762069"/>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