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5A808" w14:textId="1703DA00" w:rsidR="00296F9B" w:rsidRDefault="00262D57" w:rsidP="00BE1EA9">
      <w:pPr>
        <w:jc w:val="center"/>
        <w:rPr>
          <w:b/>
          <w:bCs/>
          <w:sz w:val="24"/>
          <w:szCs w:val="24"/>
        </w:rPr>
      </w:pPr>
      <w:r w:rsidRPr="00262D57">
        <w:rPr>
          <w:b/>
          <w:bCs/>
          <w:sz w:val="24"/>
          <w:szCs w:val="24"/>
        </w:rPr>
        <w:t>Cost-utility and cost-effectiveness analysis of disease-modifying drugs of relapsing–remitting multiple sclerosis: a systematic review</w:t>
      </w:r>
    </w:p>
    <w:p w14:paraId="4723470D" w14:textId="3120C8C9" w:rsidR="00BE1EA9" w:rsidRDefault="00262D57" w:rsidP="00BE1EA9">
      <w:pPr>
        <w:jc w:val="center"/>
        <w:rPr>
          <w:b/>
          <w:bCs/>
          <w:sz w:val="24"/>
          <w:szCs w:val="24"/>
        </w:rPr>
      </w:pPr>
      <w:r w:rsidRPr="00262D57">
        <w:rPr>
          <w:b/>
          <w:bCs/>
          <w:sz w:val="24"/>
          <w:szCs w:val="24"/>
        </w:rPr>
        <w:t xml:space="preserve">Majid Khosravi, Nasrin </w:t>
      </w:r>
      <w:proofErr w:type="spellStart"/>
      <w:r w:rsidRPr="00262D57">
        <w:rPr>
          <w:b/>
          <w:bCs/>
          <w:sz w:val="24"/>
          <w:szCs w:val="24"/>
        </w:rPr>
        <w:t>Abulhasanbeigi</w:t>
      </w:r>
      <w:proofErr w:type="spellEnd"/>
      <w:r w:rsidRPr="00262D57">
        <w:rPr>
          <w:b/>
          <w:bCs/>
          <w:sz w:val="24"/>
          <w:szCs w:val="24"/>
        </w:rPr>
        <w:t xml:space="preserve"> </w:t>
      </w:r>
      <w:proofErr w:type="spellStart"/>
      <w:r w:rsidRPr="00262D57">
        <w:rPr>
          <w:b/>
          <w:bCs/>
          <w:sz w:val="24"/>
          <w:szCs w:val="24"/>
        </w:rPr>
        <w:t>Gallehzan</w:t>
      </w:r>
      <w:proofErr w:type="spellEnd"/>
      <w:r w:rsidRPr="00262D57">
        <w:rPr>
          <w:b/>
          <w:bCs/>
          <w:sz w:val="24"/>
          <w:szCs w:val="24"/>
        </w:rPr>
        <w:t xml:space="preserve">, Khosro </w:t>
      </w:r>
      <w:proofErr w:type="spellStart"/>
      <w:r w:rsidRPr="00262D57">
        <w:rPr>
          <w:b/>
          <w:bCs/>
          <w:sz w:val="24"/>
          <w:szCs w:val="24"/>
        </w:rPr>
        <w:t>Jamebozorgi</w:t>
      </w:r>
      <w:proofErr w:type="spellEnd"/>
      <w:r w:rsidRPr="00262D57">
        <w:rPr>
          <w:b/>
          <w:bCs/>
          <w:sz w:val="24"/>
          <w:szCs w:val="24"/>
        </w:rPr>
        <w:t xml:space="preserve">, Nazanin Mir, Habib Jalilian, Samira </w:t>
      </w:r>
      <w:proofErr w:type="spellStart"/>
      <w:r w:rsidRPr="00262D57">
        <w:rPr>
          <w:b/>
          <w:bCs/>
          <w:sz w:val="24"/>
          <w:szCs w:val="24"/>
        </w:rPr>
        <w:t>Soleimanpour</w:t>
      </w:r>
      <w:proofErr w:type="spellEnd"/>
      <w:r w:rsidRPr="00262D57">
        <w:rPr>
          <w:b/>
          <w:bCs/>
          <w:sz w:val="24"/>
          <w:szCs w:val="24"/>
        </w:rPr>
        <w:t xml:space="preserve">, Saeed </w:t>
      </w:r>
      <w:proofErr w:type="spellStart"/>
      <w:r w:rsidRPr="00262D57">
        <w:rPr>
          <w:b/>
          <w:bCs/>
          <w:sz w:val="24"/>
          <w:szCs w:val="24"/>
        </w:rPr>
        <w:t>Hoseini</w:t>
      </w:r>
      <w:proofErr w:type="spellEnd"/>
      <w:r w:rsidRPr="00262D57">
        <w:rPr>
          <w:b/>
          <w:bCs/>
          <w:sz w:val="24"/>
          <w:szCs w:val="24"/>
        </w:rPr>
        <w:t>, Aziz Rezapour &amp; Abbas Eshraghi</w:t>
      </w:r>
    </w:p>
    <w:p w14:paraId="6056612D" w14:textId="6CDAE6DE" w:rsidR="00262D57" w:rsidRDefault="00262D57" w:rsidP="00262D57">
      <w:pPr>
        <w:jc w:val="center"/>
        <w:rPr>
          <w:b/>
          <w:bCs/>
          <w:sz w:val="24"/>
          <w:szCs w:val="24"/>
        </w:rPr>
      </w:pPr>
      <w:r w:rsidRPr="00262D57">
        <w:rPr>
          <w:b/>
          <w:bCs/>
          <w:sz w:val="24"/>
          <w:szCs w:val="24"/>
        </w:rPr>
        <w:t xml:space="preserve">Health Management and Economics Research </w:t>
      </w:r>
      <w:proofErr w:type="spellStart"/>
      <w:r w:rsidRPr="00262D57">
        <w:rPr>
          <w:b/>
          <w:bCs/>
          <w:sz w:val="24"/>
          <w:szCs w:val="24"/>
        </w:rPr>
        <w:t>Center</w:t>
      </w:r>
      <w:proofErr w:type="spellEnd"/>
      <w:r w:rsidRPr="00262D57">
        <w:rPr>
          <w:b/>
          <w:bCs/>
          <w:sz w:val="24"/>
          <w:szCs w:val="24"/>
        </w:rPr>
        <w:t>, Health Management Research Institute, Iran University of Medical Sciences, Tehran, Iran</w:t>
      </w:r>
      <w:r>
        <w:rPr>
          <w:b/>
          <w:bCs/>
          <w:sz w:val="24"/>
          <w:szCs w:val="24"/>
        </w:rPr>
        <w:t xml:space="preserve">, </w:t>
      </w:r>
      <w:hyperlink r:id="rId7" w:history="1">
        <w:r w:rsidRPr="00ED421D">
          <w:rPr>
            <w:rStyle w:val="Hyperlink"/>
            <w:b/>
            <w:bCs/>
            <w:sz w:val="24"/>
            <w:szCs w:val="24"/>
          </w:rPr>
          <w:t>khosravi.m1@gmail.com</w:t>
        </w:r>
      </w:hyperlink>
      <w:r>
        <w:rPr>
          <w:b/>
          <w:bCs/>
          <w:sz w:val="24"/>
          <w:szCs w:val="24"/>
        </w:rPr>
        <w:t>, +989127583804</w:t>
      </w:r>
    </w:p>
    <w:p w14:paraId="18DF588A" w14:textId="7AB449B5" w:rsidR="007A43F7" w:rsidRDefault="007A43F7" w:rsidP="007A43F7">
      <w:pPr>
        <w:rPr>
          <w:b/>
          <w:bCs/>
          <w:sz w:val="24"/>
          <w:szCs w:val="24"/>
        </w:rPr>
      </w:pPr>
      <w:r>
        <w:rPr>
          <w:b/>
          <w:bCs/>
          <w:sz w:val="24"/>
          <w:szCs w:val="24"/>
        </w:rPr>
        <w:t>Presenter Name:</w:t>
      </w:r>
      <w:r w:rsidR="00262D57">
        <w:rPr>
          <w:b/>
          <w:bCs/>
          <w:sz w:val="24"/>
          <w:szCs w:val="24"/>
        </w:rPr>
        <w:t xml:space="preserve"> </w:t>
      </w:r>
      <w:r w:rsidR="00262D57" w:rsidRPr="00262D57">
        <w:rPr>
          <w:b/>
          <w:bCs/>
          <w:sz w:val="24"/>
          <w:szCs w:val="24"/>
        </w:rPr>
        <w:t>Majid Khosravi</w:t>
      </w:r>
    </w:p>
    <w:p w14:paraId="48E7A3E6" w14:textId="067BCA0D" w:rsidR="007A43F7" w:rsidRDefault="007A43F7" w:rsidP="00262D57">
      <w:pPr>
        <w:spacing w:after="0"/>
        <w:rPr>
          <w:b/>
          <w:bCs/>
          <w:sz w:val="24"/>
          <w:szCs w:val="24"/>
        </w:rPr>
      </w:pPr>
      <w:r>
        <w:rPr>
          <w:b/>
          <w:bCs/>
          <w:sz w:val="24"/>
          <w:szCs w:val="24"/>
        </w:rPr>
        <w:t>Abstract:</w:t>
      </w:r>
    </w:p>
    <w:p w14:paraId="4637B887" w14:textId="77777777" w:rsidR="00262D57" w:rsidRPr="00262D57" w:rsidRDefault="00262D57" w:rsidP="00262D57">
      <w:pPr>
        <w:spacing w:after="0"/>
        <w:rPr>
          <w:b/>
          <w:bCs/>
          <w:sz w:val="24"/>
          <w:szCs w:val="24"/>
        </w:rPr>
      </w:pPr>
      <w:r w:rsidRPr="00262D57">
        <w:rPr>
          <w:b/>
          <w:bCs/>
          <w:sz w:val="24"/>
          <w:szCs w:val="24"/>
        </w:rPr>
        <w:t>Background</w:t>
      </w:r>
    </w:p>
    <w:p w14:paraId="695E2751" w14:textId="147119B1" w:rsidR="00262D57" w:rsidRPr="00262D57" w:rsidRDefault="00262D57" w:rsidP="00262D57">
      <w:pPr>
        <w:spacing w:after="0"/>
        <w:rPr>
          <w:b/>
          <w:bCs/>
          <w:sz w:val="24"/>
          <w:szCs w:val="24"/>
        </w:rPr>
      </w:pPr>
      <w:r w:rsidRPr="00262D57">
        <w:rPr>
          <w:b/>
          <w:bCs/>
          <w:sz w:val="24"/>
          <w:szCs w:val="24"/>
        </w:rPr>
        <w:t>Multiple sclerosis (MS) is a chronic, autoimmune, and inflammatory disease. The economic burden of MS is substantial, and the high cost of Disease-modifying drugs (DMDs) prices are the main drivers of healthcare expenditures. We conducted a systematic review of studies evaluating the cost-utility and cost-effectiveness of DMDs for relapsing–remitting multiple sclerosis (RRMS).</w:t>
      </w:r>
    </w:p>
    <w:p w14:paraId="5C17499B" w14:textId="77777777" w:rsidR="00262D57" w:rsidRPr="00262D57" w:rsidRDefault="00262D57" w:rsidP="00262D57">
      <w:pPr>
        <w:spacing w:after="0"/>
        <w:rPr>
          <w:b/>
          <w:bCs/>
          <w:sz w:val="24"/>
          <w:szCs w:val="24"/>
        </w:rPr>
      </w:pPr>
      <w:r w:rsidRPr="00262D57">
        <w:rPr>
          <w:b/>
          <w:bCs/>
          <w:sz w:val="24"/>
          <w:szCs w:val="24"/>
        </w:rPr>
        <w:t>Materials and method</w:t>
      </w:r>
    </w:p>
    <w:p w14:paraId="4BDF6F9C" w14:textId="2142569C" w:rsidR="00262D57" w:rsidRPr="00262D57" w:rsidRDefault="00262D57" w:rsidP="00262D57">
      <w:pPr>
        <w:spacing w:after="0"/>
        <w:rPr>
          <w:b/>
          <w:bCs/>
          <w:sz w:val="24"/>
          <w:szCs w:val="24"/>
        </w:rPr>
      </w:pPr>
      <w:r w:rsidRPr="00262D57">
        <w:rPr>
          <w:b/>
          <w:bCs/>
          <w:sz w:val="24"/>
          <w:szCs w:val="24"/>
        </w:rPr>
        <w:t>Searches were conducted in PubMed, Web of Science, Scopus, and Embase. The search covered articles published between May 2001 and May 2023. Studies that were written in English and Persian and examined the cost-utility and cost-effectiveness of DMDs in patients with MS were included in our review. Data extraction was guided by the Consolidated Health Economic Evaluation Reporting Standards (CHEERS) checklist, and the quality of economic evaluations was assessed using the Quality of Health Economics Studies Instrument (QHES). All costs were converted to 2020 U.S. dollars using Purchasing Power Parity (PPP).</w:t>
      </w:r>
    </w:p>
    <w:p w14:paraId="55C98F29" w14:textId="77777777" w:rsidR="00262D57" w:rsidRPr="00262D57" w:rsidRDefault="00262D57" w:rsidP="00262D57">
      <w:pPr>
        <w:spacing w:after="0"/>
        <w:rPr>
          <w:b/>
          <w:bCs/>
          <w:sz w:val="24"/>
          <w:szCs w:val="24"/>
        </w:rPr>
      </w:pPr>
      <w:r w:rsidRPr="00262D57">
        <w:rPr>
          <w:b/>
          <w:bCs/>
          <w:sz w:val="24"/>
          <w:szCs w:val="24"/>
        </w:rPr>
        <w:t>Results</w:t>
      </w:r>
    </w:p>
    <w:p w14:paraId="1C587954" w14:textId="09015D9E" w:rsidR="00262D57" w:rsidRPr="00262D57" w:rsidRDefault="00262D57" w:rsidP="00262D57">
      <w:pPr>
        <w:spacing w:after="0"/>
        <w:rPr>
          <w:b/>
          <w:bCs/>
          <w:sz w:val="24"/>
          <w:szCs w:val="24"/>
        </w:rPr>
      </w:pPr>
      <w:r w:rsidRPr="00262D57">
        <w:rPr>
          <w:b/>
          <w:bCs/>
          <w:sz w:val="24"/>
          <w:szCs w:val="24"/>
        </w:rPr>
        <w:t>The search yielded 1589 studies, and 49 studies were eligible for inclusion. The studies were mainly based on a European setting. Most studies employed Markov model to assess the cost–effectiveness. The lowest and highest numerical value of outcome measures were -1,623,918 and 2,297,141.53, respectively. Furthermore, the lowest and highest numerical value of the cost of DMDs of RRMS were $180.67, and $1474840.19, respectively.</w:t>
      </w:r>
    </w:p>
    <w:p w14:paraId="09333BA0" w14:textId="77777777" w:rsidR="00262D57" w:rsidRPr="00262D57" w:rsidRDefault="00262D57" w:rsidP="00262D57">
      <w:pPr>
        <w:spacing w:after="0"/>
        <w:rPr>
          <w:b/>
          <w:bCs/>
          <w:sz w:val="24"/>
          <w:szCs w:val="24"/>
        </w:rPr>
      </w:pPr>
      <w:r w:rsidRPr="00262D57">
        <w:rPr>
          <w:b/>
          <w:bCs/>
          <w:sz w:val="24"/>
          <w:szCs w:val="24"/>
        </w:rPr>
        <w:t>Conclusions</w:t>
      </w:r>
    </w:p>
    <w:p w14:paraId="4A3BD8F8" w14:textId="0D830DC5" w:rsidR="007A43F7" w:rsidRDefault="00262D57" w:rsidP="00262D57">
      <w:pPr>
        <w:spacing w:after="0"/>
        <w:rPr>
          <w:b/>
          <w:bCs/>
          <w:sz w:val="24"/>
          <w:szCs w:val="24"/>
        </w:rPr>
      </w:pPr>
      <w:r w:rsidRPr="00262D57">
        <w:rPr>
          <w:b/>
          <w:bCs/>
          <w:sz w:val="24"/>
          <w:szCs w:val="24"/>
        </w:rPr>
        <w:t>Based on the results of all studies, it can be concluded that for the treatment of patients with MS, care-oriented strategies should be preferred to drug strategies. Also, among the drug strategies with different prescribing methods, oral disease-modifying drugs of RRMS should be preferred to injectable drugs and intravenous infusions.</w:t>
      </w:r>
    </w:p>
    <w:p w14:paraId="6A6CE1B7" w14:textId="6E1C2A34" w:rsidR="007A43F7" w:rsidRDefault="007A43F7" w:rsidP="00262D57">
      <w:pPr>
        <w:spacing w:after="0"/>
        <w:rPr>
          <w:b/>
          <w:bCs/>
          <w:sz w:val="24"/>
          <w:szCs w:val="24"/>
        </w:rPr>
      </w:pPr>
    </w:p>
    <w:p w14:paraId="498C0F57" w14:textId="3D79660B" w:rsidR="007A43F7" w:rsidRDefault="007A43F7" w:rsidP="00262D57">
      <w:pPr>
        <w:spacing w:after="0"/>
        <w:rPr>
          <w:b/>
          <w:bCs/>
          <w:sz w:val="24"/>
          <w:szCs w:val="24"/>
        </w:rPr>
      </w:pPr>
      <w:r>
        <w:rPr>
          <w:b/>
          <w:bCs/>
          <w:sz w:val="24"/>
          <w:szCs w:val="24"/>
        </w:rPr>
        <w:t>Biography of Presenter about 100 words:</w:t>
      </w:r>
    </w:p>
    <w:p w14:paraId="754C7A20" w14:textId="4C37BC75" w:rsidR="007A43F7" w:rsidRDefault="00262D57" w:rsidP="00262D57">
      <w:pPr>
        <w:spacing w:after="0"/>
        <w:rPr>
          <w:b/>
          <w:bCs/>
          <w:sz w:val="24"/>
          <w:szCs w:val="24"/>
        </w:rPr>
      </w:pPr>
      <w:r w:rsidRPr="00262D57">
        <w:rPr>
          <w:b/>
          <w:bCs/>
          <w:sz w:val="24"/>
          <w:szCs w:val="24"/>
        </w:rPr>
        <w:lastRenderedPageBreak/>
        <w:t>Majid Khosravi has a bachelor's degree in nursing and PhD in health economics from Iran University of Medical Sciences. Several of his articles have been published in prestigious international journals such as "Health Economics Review".</w:t>
      </w:r>
      <w:r w:rsidR="007A43F7">
        <w:rPr>
          <w:b/>
          <w:bCs/>
          <w:sz w:val="24"/>
          <w:szCs w:val="24"/>
        </w:rPr>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2E82AA87" w:rsidR="004A171E" w:rsidRDefault="007A43F7" w:rsidP="007A43F7">
      <w:pPr>
        <w:rPr>
          <w:b/>
          <w:bCs/>
          <w:sz w:val="24"/>
          <w:szCs w:val="24"/>
        </w:rPr>
      </w:pPr>
      <w:r w:rsidRPr="007A43F7">
        <w:rPr>
          <w:b/>
          <w:bCs/>
          <w:sz w:val="24"/>
          <w:szCs w:val="24"/>
        </w:rPr>
        <w:t xml:space="preserve">Name: </w:t>
      </w:r>
      <w:r w:rsidR="00262D57" w:rsidRPr="00262D57">
        <w:rPr>
          <w:b/>
          <w:bCs/>
          <w:sz w:val="24"/>
          <w:szCs w:val="24"/>
        </w:rPr>
        <w:t>Majid Khosravi</w:t>
      </w:r>
      <w:r>
        <w:rPr>
          <w:b/>
          <w:bCs/>
          <w:sz w:val="24"/>
          <w:szCs w:val="24"/>
        </w:rPr>
        <w:br/>
      </w:r>
      <w:r w:rsidRPr="007A43F7">
        <w:rPr>
          <w:b/>
          <w:bCs/>
          <w:sz w:val="24"/>
          <w:szCs w:val="24"/>
        </w:rPr>
        <w:t xml:space="preserve">Affiliation: </w:t>
      </w:r>
      <w:r w:rsidR="00262D57" w:rsidRPr="00262D57">
        <w:rPr>
          <w:b/>
          <w:bCs/>
          <w:sz w:val="24"/>
          <w:szCs w:val="24"/>
        </w:rPr>
        <w:t xml:space="preserve">Health Management and Economics Research </w:t>
      </w:r>
      <w:proofErr w:type="spellStart"/>
      <w:r w:rsidR="00262D57" w:rsidRPr="00262D57">
        <w:rPr>
          <w:b/>
          <w:bCs/>
          <w:sz w:val="24"/>
          <w:szCs w:val="24"/>
        </w:rPr>
        <w:t>Center</w:t>
      </w:r>
      <w:proofErr w:type="spellEnd"/>
      <w:r w:rsidR="00262D57" w:rsidRPr="00262D57">
        <w:rPr>
          <w:b/>
          <w:bCs/>
          <w:sz w:val="24"/>
          <w:szCs w:val="24"/>
        </w:rPr>
        <w:t>, Health Management Research Institute, Iran University of Medical Sciences, Tehran, Iran</w:t>
      </w:r>
      <w:r>
        <w:rPr>
          <w:b/>
          <w:bCs/>
          <w:sz w:val="24"/>
          <w:szCs w:val="24"/>
        </w:rPr>
        <w:br/>
      </w:r>
      <w:r w:rsidRPr="007A43F7">
        <w:rPr>
          <w:b/>
          <w:bCs/>
          <w:sz w:val="24"/>
          <w:szCs w:val="24"/>
        </w:rPr>
        <w:t>Country:</w:t>
      </w:r>
      <w:r w:rsidR="00262D57">
        <w:rPr>
          <w:b/>
          <w:bCs/>
          <w:sz w:val="24"/>
          <w:szCs w:val="24"/>
        </w:rPr>
        <w:t xml:space="preserve"> </w:t>
      </w:r>
      <w:r w:rsidR="00262D57" w:rsidRPr="00262D57">
        <w:rPr>
          <w:b/>
          <w:bCs/>
          <w:sz w:val="24"/>
          <w:szCs w:val="24"/>
        </w:rPr>
        <w:t>Iran</w:t>
      </w:r>
      <w:r w:rsidR="00262D57">
        <w:rPr>
          <w:b/>
          <w:bCs/>
          <w:sz w:val="24"/>
          <w:szCs w:val="24"/>
        </w:rPr>
        <w:t xml:space="preserve"> </w:t>
      </w:r>
    </w:p>
    <w:p w14:paraId="0803C207" w14:textId="707F0750" w:rsidR="00262D57" w:rsidRPr="00262D57" w:rsidRDefault="004A171E" w:rsidP="00262D57">
      <w:pPr>
        <w:pStyle w:val="ListParagraph"/>
        <w:numPr>
          <w:ilvl w:val="0"/>
          <w:numId w:val="1"/>
        </w:numPr>
        <w:rPr>
          <w:b/>
          <w:bCs/>
          <w:sz w:val="24"/>
          <w:szCs w:val="24"/>
        </w:rPr>
      </w:pPr>
      <w:r w:rsidRPr="004A171E">
        <w:rPr>
          <w:b/>
          <w:bCs/>
          <w:sz w:val="24"/>
          <w:szCs w:val="24"/>
        </w:rPr>
        <w:t>Please to attach a recent high-resolution photograph of the presenting author.</w:t>
      </w:r>
      <w:r w:rsidR="00262D57">
        <w:rPr>
          <w:noProof/>
        </w:rPr>
        <w:drawing>
          <wp:anchor distT="0" distB="0" distL="114300" distR="114300" simplePos="0" relativeHeight="251657216" behindDoc="0" locked="0" layoutInCell="1" allowOverlap="1" wp14:anchorId="3DE9A436" wp14:editId="54487AC7">
            <wp:simplePos x="0" y="0"/>
            <wp:positionH relativeFrom="margin">
              <wp:posOffset>4678045</wp:posOffset>
            </wp:positionH>
            <wp:positionV relativeFrom="margin">
              <wp:posOffset>2615565</wp:posOffset>
            </wp:positionV>
            <wp:extent cx="1062990" cy="1551940"/>
            <wp:effectExtent l="0" t="0" r="3810" b="0"/>
            <wp:wrapSquare wrapText="bothSides"/>
            <wp:docPr id="4216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334" name="Picture 4216334"/>
                    <pic:cNvPicPr/>
                  </pic:nvPicPr>
                  <pic:blipFill rotWithShape="1">
                    <a:blip r:embed="rId8" cstate="print">
                      <a:extLst>
                        <a:ext uri="{28A0092B-C50C-407E-A947-70E740481C1C}">
                          <a14:useLocalDpi xmlns:a14="http://schemas.microsoft.com/office/drawing/2010/main" val="0"/>
                        </a:ext>
                      </a:extLst>
                    </a:blip>
                    <a:srcRect l="6144" r="6060" b="5879"/>
                    <a:stretch/>
                  </pic:blipFill>
                  <pic:spPr bwMode="auto">
                    <a:xfrm>
                      <a:off x="0" y="0"/>
                      <a:ext cx="1062990" cy="155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62D57" w:rsidRPr="00262D5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35E5D" w14:textId="77777777" w:rsidR="00407C41" w:rsidRDefault="00407C41" w:rsidP="00BE1EA9">
      <w:pPr>
        <w:spacing w:after="0" w:line="240" w:lineRule="auto"/>
      </w:pPr>
      <w:r>
        <w:separator/>
      </w:r>
    </w:p>
  </w:endnote>
  <w:endnote w:type="continuationSeparator" w:id="0">
    <w:p w14:paraId="65F8C82E" w14:textId="77777777" w:rsidR="00407C41" w:rsidRDefault="00407C41"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069A2" w14:textId="77777777" w:rsidR="00407C41" w:rsidRDefault="00407C41" w:rsidP="00BE1EA9">
      <w:pPr>
        <w:spacing w:after="0" w:line="240" w:lineRule="auto"/>
      </w:pPr>
      <w:r>
        <w:separator/>
      </w:r>
    </w:p>
  </w:footnote>
  <w:footnote w:type="continuationSeparator" w:id="0">
    <w:p w14:paraId="049812E1" w14:textId="77777777" w:rsidR="00407C41" w:rsidRDefault="00407C41"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262D57"/>
    <w:rsid w:val="00296F9B"/>
    <w:rsid w:val="003C4FF4"/>
    <w:rsid w:val="003F348B"/>
    <w:rsid w:val="00407C41"/>
    <w:rsid w:val="004A171E"/>
    <w:rsid w:val="004E5CBB"/>
    <w:rsid w:val="007A43F7"/>
    <w:rsid w:val="00BE1EA9"/>
  </w:rsids>
  <m:mathPr>
    <m:mathFont m:val="Cambria Math"/>
    <m:brkBin m:val="before"/>
    <m:brkBinSub m:val="--"/>
    <m:smallFrac m:val="0"/>
    <m:dispDef/>
    <m:lMargin m:val="0"/>
    <m:rMargin m:val="0"/>
    <m:defJc m:val="centerGroup"/>
    <m:wrapIndent m:val="1440"/>
    <m:intLim m:val="subSup"/>
    <m:naryLim m:val="undOvr"/>
  </m:mathPr>
  <w:themeFontLang w:val="en-GB"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262D57"/>
    <w:rPr>
      <w:color w:val="0000FF" w:themeColor="hyperlink"/>
      <w:u w:val="single"/>
    </w:rPr>
  </w:style>
  <w:style w:type="character" w:styleId="UnresolvedMention">
    <w:name w:val="Unresolved Mention"/>
    <w:basedOn w:val="DefaultParagraphFont"/>
    <w:uiPriority w:val="99"/>
    <w:semiHidden/>
    <w:unhideWhenUsed/>
    <w:rsid w:val="0026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2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hosravi.m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فاطمه سلمانیان</cp:lastModifiedBy>
  <cp:revision>4</cp:revision>
  <dcterms:created xsi:type="dcterms:W3CDTF">2022-07-14T07:03:00Z</dcterms:created>
  <dcterms:modified xsi:type="dcterms:W3CDTF">2024-04-17T09:34:00Z</dcterms:modified>
</cp:coreProperties>
</file>